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5"/>
        <w:gridCol w:w="2052"/>
        <w:gridCol w:w="1610"/>
      </w:tblGrid>
      <w:tr w:rsidR="003859A7" w:rsidRPr="00921DFA" w:rsidTr="005C153A">
        <w:tc>
          <w:tcPr>
            <w:tcW w:w="2969" w:type="pct"/>
          </w:tcPr>
          <w:p w:rsidR="003859A7" w:rsidRPr="00921DFA" w:rsidRDefault="0039253A" w:rsidP="00921DFA">
            <w:pPr>
              <w:spacing w:after="120"/>
              <w:rPr>
                <w:rFonts w:cs="Tahoma"/>
              </w:rPr>
            </w:pPr>
            <w:r w:rsidRPr="00921DFA">
              <w:rPr>
                <w:rFonts w:cs="Tahoma"/>
                <w:b/>
                <w:noProof/>
                <w:lang w:eastAsia="en-AU"/>
              </w:rPr>
              <w:drawing>
                <wp:inline distT="0" distB="0" distL="0" distR="0">
                  <wp:extent cx="24479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666750"/>
                          </a:xfrm>
                          <a:prstGeom prst="rect">
                            <a:avLst/>
                          </a:prstGeom>
                          <a:noFill/>
                          <a:ln>
                            <a:noFill/>
                          </a:ln>
                        </pic:spPr>
                      </pic:pic>
                    </a:graphicData>
                  </a:graphic>
                </wp:inline>
              </w:drawing>
            </w:r>
          </w:p>
        </w:tc>
        <w:tc>
          <w:tcPr>
            <w:tcW w:w="1138" w:type="pct"/>
          </w:tcPr>
          <w:p w:rsidR="003859A7" w:rsidRPr="00921DFA" w:rsidRDefault="003859A7" w:rsidP="00921DFA">
            <w:pPr>
              <w:spacing w:after="120"/>
              <w:ind w:left="-108" w:right="-108"/>
              <w:rPr>
                <w:rFonts w:cs="Tahoma"/>
                <w:b/>
                <w:smallCaps/>
              </w:rPr>
            </w:pPr>
            <w:r w:rsidRPr="00921DFA">
              <w:rPr>
                <w:rFonts w:cs="Tahoma"/>
                <w:b/>
                <w:smallCaps/>
              </w:rPr>
              <w:t xml:space="preserve">  Name of Item</w:t>
            </w:r>
          </w:p>
          <w:p w:rsidR="003859A7" w:rsidRPr="00921DFA" w:rsidRDefault="002039BF" w:rsidP="008C1B9E">
            <w:pPr>
              <w:spacing w:after="120"/>
              <w:ind w:left="0" w:right="-108"/>
              <w:rPr>
                <w:rFonts w:cs="Tahoma"/>
                <w:smallCaps/>
              </w:rPr>
            </w:pPr>
            <w:r>
              <w:rPr>
                <w:rFonts w:cs="Tahoma"/>
                <w:smallCaps/>
              </w:rPr>
              <w:t>briefing</w:t>
            </w:r>
            <w:r w:rsidR="00A370C9">
              <w:rPr>
                <w:rFonts w:cs="Tahoma"/>
                <w:smallCaps/>
              </w:rPr>
              <w:t xml:space="preserve"> on the CAUL constitution – objects of the association</w:t>
            </w:r>
          </w:p>
        </w:tc>
        <w:tc>
          <w:tcPr>
            <w:tcW w:w="893" w:type="pct"/>
          </w:tcPr>
          <w:p w:rsidR="003859A7" w:rsidRPr="00921DFA" w:rsidRDefault="003859A7" w:rsidP="00A370C9">
            <w:pPr>
              <w:spacing w:after="120"/>
              <w:ind w:left="0" w:right="252"/>
              <w:rPr>
                <w:rFonts w:cs="Tahoma"/>
                <w:b/>
                <w:smallCaps/>
              </w:rPr>
            </w:pPr>
            <w:r w:rsidRPr="00921DFA">
              <w:rPr>
                <w:rFonts w:cs="Tahoma"/>
                <w:b/>
                <w:smallCaps/>
              </w:rPr>
              <w:t>Agenda Item</w:t>
            </w:r>
          </w:p>
          <w:p w:rsidR="003859A7" w:rsidRPr="00921DFA" w:rsidRDefault="00184581" w:rsidP="00A370C9">
            <w:pPr>
              <w:spacing w:after="120"/>
              <w:ind w:left="0" w:right="252"/>
              <w:rPr>
                <w:rFonts w:cs="Tahoma"/>
              </w:rPr>
            </w:pPr>
            <w:r w:rsidRPr="00921DFA">
              <w:rPr>
                <w:rFonts w:cs="Tahoma"/>
              </w:rPr>
              <w:t>(office use only)</w:t>
            </w:r>
          </w:p>
        </w:tc>
      </w:tr>
      <w:tr w:rsidR="003859A7" w:rsidRPr="00921DFA" w:rsidTr="005C153A">
        <w:tc>
          <w:tcPr>
            <w:tcW w:w="2969" w:type="pct"/>
            <w:tcBorders>
              <w:top w:val="single" w:sz="4" w:space="0" w:color="auto"/>
              <w:left w:val="single" w:sz="4" w:space="0" w:color="auto"/>
              <w:bottom w:val="single" w:sz="4" w:space="0" w:color="auto"/>
              <w:right w:val="single" w:sz="4" w:space="0" w:color="auto"/>
            </w:tcBorders>
          </w:tcPr>
          <w:p w:rsidR="00A370C9" w:rsidRDefault="00A370C9" w:rsidP="00A370C9">
            <w:pPr>
              <w:spacing w:after="120"/>
              <w:ind w:left="0"/>
              <w:rPr>
                <w:rFonts w:cs="Tahoma"/>
                <w:b/>
                <w:smallCaps/>
              </w:rPr>
            </w:pPr>
            <w:r>
              <w:rPr>
                <w:rFonts w:cs="Tahoma"/>
                <w:b/>
                <w:smallCaps/>
              </w:rPr>
              <w:t>Paper for CAUL Executive 2018/6</w:t>
            </w:r>
          </w:p>
          <w:p w:rsidR="00695609" w:rsidRPr="00921DFA" w:rsidRDefault="00A370C9" w:rsidP="00A370C9">
            <w:pPr>
              <w:spacing w:after="120"/>
              <w:ind w:left="0"/>
              <w:rPr>
                <w:rFonts w:cs="Tahoma"/>
                <w:b/>
                <w:smallCaps/>
              </w:rPr>
            </w:pPr>
            <w:r>
              <w:rPr>
                <w:rFonts w:cs="Tahoma"/>
                <w:b/>
                <w:smallCaps/>
              </w:rPr>
              <w:t xml:space="preserve">28 </w:t>
            </w:r>
            <w:r w:rsidR="0048121A">
              <w:rPr>
                <w:rFonts w:cs="Tahoma"/>
                <w:b/>
                <w:smallCaps/>
              </w:rPr>
              <w:t>November</w:t>
            </w:r>
            <w:r w:rsidR="00FF787B">
              <w:rPr>
                <w:rFonts w:cs="Tahoma"/>
                <w:b/>
                <w:smallCaps/>
              </w:rPr>
              <w:t>, 2018</w:t>
            </w:r>
            <w:r w:rsidR="000538AF">
              <w:rPr>
                <w:rFonts w:cs="Tahoma"/>
                <w:b/>
                <w:smallCaps/>
              </w:rPr>
              <w:t xml:space="preserve"> </w:t>
            </w:r>
          </w:p>
        </w:tc>
        <w:tc>
          <w:tcPr>
            <w:tcW w:w="2031" w:type="pct"/>
            <w:gridSpan w:val="2"/>
            <w:tcBorders>
              <w:top w:val="single" w:sz="4" w:space="0" w:color="auto"/>
              <w:left w:val="single" w:sz="4" w:space="0" w:color="auto"/>
              <w:bottom w:val="single" w:sz="4" w:space="0" w:color="auto"/>
              <w:right w:val="single" w:sz="4" w:space="0" w:color="auto"/>
            </w:tcBorders>
          </w:tcPr>
          <w:p w:rsidR="003859A7" w:rsidRPr="00921DFA" w:rsidRDefault="003859A7" w:rsidP="00A370C9">
            <w:pPr>
              <w:spacing w:after="120"/>
              <w:ind w:left="0"/>
              <w:rPr>
                <w:rFonts w:cs="Tahoma"/>
              </w:rPr>
            </w:pPr>
            <w:r w:rsidRPr="00921DFA">
              <w:rPr>
                <w:rFonts w:cs="Tahoma"/>
                <w:b/>
                <w:smallCaps/>
              </w:rPr>
              <w:t>From:</w:t>
            </w:r>
            <w:r w:rsidR="004753F1">
              <w:rPr>
                <w:rFonts w:cs="Tahoma"/>
              </w:rPr>
              <w:t xml:space="preserve"> Harry Rolf</w:t>
            </w:r>
            <w:r w:rsidR="00D86087">
              <w:rPr>
                <w:rFonts w:cs="Tahoma"/>
              </w:rPr>
              <w:t xml:space="preserve"> (</w:t>
            </w:r>
            <w:r w:rsidR="0048121A">
              <w:rPr>
                <w:rFonts w:cs="Tahoma"/>
              </w:rPr>
              <w:t>8</w:t>
            </w:r>
            <w:r w:rsidR="00521846">
              <w:rPr>
                <w:rFonts w:cs="Tahoma"/>
              </w:rPr>
              <w:t>/</w:t>
            </w:r>
            <w:r w:rsidR="0048121A">
              <w:rPr>
                <w:rFonts w:cs="Tahoma"/>
              </w:rPr>
              <w:t>11</w:t>
            </w:r>
            <w:r w:rsidR="00D86087">
              <w:rPr>
                <w:rFonts w:cs="Tahoma"/>
              </w:rPr>
              <w:t>/2018)</w:t>
            </w:r>
          </w:p>
          <w:p w:rsidR="003859A7" w:rsidRPr="00921DFA" w:rsidRDefault="003859A7" w:rsidP="00A370C9">
            <w:pPr>
              <w:spacing w:after="120"/>
              <w:ind w:left="0"/>
              <w:rPr>
                <w:rFonts w:cs="Tahoma"/>
                <w:b/>
                <w:smallCaps/>
              </w:rPr>
            </w:pPr>
            <w:r w:rsidRPr="00921DFA">
              <w:rPr>
                <w:rFonts w:cs="Tahoma"/>
                <w:b/>
                <w:smallCaps/>
              </w:rPr>
              <w:t>Name of Sponsor</w:t>
            </w:r>
            <w:r w:rsidRPr="00921DFA">
              <w:rPr>
                <w:rFonts w:cs="Tahoma"/>
                <w:b/>
              </w:rPr>
              <w:t>:</w:t>
            </w:r>
          </w:p>
        </w:tc>
      </w:tr>
      <w:tr w:rsidR="003859A7" w:rsidRPr="00921DFA" w:rsidTr="005A0F61">
        <w:tc>
          <w:tcPr>
            <w:tcW w:w="5000" w:type="pct"/>
            <w:gridSpan w:val="3"/>
            <w:tcBorders>
              <w:bottom w:val="single" w:sz="4" w:space="0" w:color="auto"/>
            </w:tcBorders>
            <w:shd w:val="clear" w:color="auto" w:fill="C0C0C0"/>
          </w:tcPr>
          <w:p w:rsidR="003859A7" w:rsidRDefault="004722DE" w:rsidP="00A370C9">
            <w:pPr>
              <w:spacing w:after="120"/>
              <w:ind w:left="0"/>
              <w:rPr>
                <w:rFonts w:cs="Tahoma"/>
                <w:b/>
              </w:rPr>
            </w:pPr>
            <w:r>
              <w:rPr>
                <w:rFonts w:cs="Tahoma"/>
                <w:b/>
              </w:rPr>
              <w:t>Draft resolution</w:t>
            </w:r>
            <w:r w:rsidR="008A16D7">
              <w:rPr>
                <w:rFonts w:cs="Tahoma"/>
                <w:b/>
              </w:rPr>
              <w:t>(s)</w:t>
            </w:r>
          </w:p>
          <w:p w:rsidR="00A7715E" w:rsidRDefault="00A7715E" w:rsidP="00A370C9">
            <w:pPr>
              <w:spacing w:after="120"/>
              <w:ind w:left="0"/>
              <w:rPr>
                <w:rFonts w:cs="Tahoma"/>
                <w:b/>
              </w:rPr>
            </w:pPr>
            <w:r>
              <w:rPr>
                <w:rFonts w:cs="Tahoma"/>
                <w:b/>
              </w:rPr>
              <w:t>That the CAUL Executive:</w:t>
            </w:r>
          </w:p>
          <w:p w:rsidR="00A7715E" w:rsidRPr="00291824" w:rsidRDefault="00A7715E" w:rsidP="00A7715E">
            <w:pPr>
              <w:pStyle w:val="BoardAgenda2"/>
              <w:ind w:left="357"/>
            </w:pPr>
            <w:r>
              <w:t>Recommend</w:t>
            </w:r>
            <w:r>
              <w:t xml:space="preserve"> to CAUL that the CAUL constitution’s </w:t>
            </w:r>
            <w:r w:rsidRPr="00291824">
              <w:t xml:space="preserve">objects </w:t>
            </w:r>
            <w:r>
              <w:t xml:space="preserve">be updated </w:t>
            </w:r>
            <w:r w:rsidRPr="00291824">
              <w:t>as follows:</w:t>
            </w:r>
          </w:p>
          <w:p w:rsidR="00A7715E" w:rsidRPr="00291824" w:rsidRDefault="00A7715E" w:rsidP="00A7715E">
            <w:pPr>
              <w:pStyle w:val="BoardAgenda2"/>
              <w:ind w:left="720"/>
            </w:pPr>
            <w:r w:rsidRPr="00291824">
              <w:t xml:space="preserve">1.3 </w:t>
            </w:r>
            <w:r>
              <w:t>Objectives</w:t>
            </w:r>
            <w:r w:rsidRPr="00291824">
              <w:t>:</w:t>
            </w:r>
          </w:p>
          <w:p w:rsidR="00A7715E" w:rsidRPr="003439B4" w:rsidRDefault="00A7715E" w:rsidP="00A7715E">
            <w:pPr>
              <w:pStyle w:val="BoardAgenda2"/>
              <w:ind w:left="720"/>
            </w:pPr>
            <w:r w:rsidRPr="003439B4">
              <w:t xml:space="preserve">1.3.1 </w:t>
            </w:r>
            <w:r>
              <w:t>To</w:t>
            </w:r>
            <w:r w:rsidRPr="003439B4">
              <w:t xml:space="preserve"> act for the benefit of its members by serving their needs and interests;</w:t>
            </w:r>
          </w:p>
          <w:p w:rsidR="00A7715E" w:rsidRPr="003439B4" w:rsidRDefault="00A7715E" w:rsidP="00A7715E">
            <w:pPr>
              <w:pStyle w:val="BoardAgenda2"/>
              <w:ind w:left="720"/>
            </w:pPr>
            <w:r w:rsidRPr="003439B4">
              <w:t xml:space="preserve">1.3.2 </w:t>
            </w:r>
            <w:r>
              <w:t>To</w:t>
            </w:r>
            <w:r w:rsidRPr="003439B4">
              <w:t xml:space="preserve"> represent the needs and interests of its members to government, the community and o</w:t>
            </w:r>
            <w:bookmarkStart w:id="0" w:name="_GoBack"/>
            <w:bookmarkEnd w:id="0"/>
            <w:r w:rsidRPr="003439B4">
              <w:t>ther organisations;</w:t>
            </w:r>
          </w:p>
          <w:p w:rsidR="00A7715E" w:rsidRPr="003439B4" w:rsidRDefault="00A7715E" w:rsidP="00A7715E">
            <w:pPr>
              <w:pStyle w:val="BoardAgenda2"/>
              <w:ind w:left="720"/>
            </w:pPr>
            <w:r w:rsidRPr="003439B4">
              <w:t xml:space="preserve">1.3.3 </w:t>
            </w:r>
            <w:r>
              <w:t>To</w:t>
            </w:r>
            <w:r w:rsidRPr="003439B4">
              <w:t xml:space="preserve"> promote the sharing of practice, information and ideas among its members;</w:t>
            </w:r>
          </w:p>
          <w:p w:rsidR="00A7715E" w:rsidRPr="003439B4" w:rsidRDefault="00A7715E" w:rsidP="00A7715E">
            <w:pPr>
              <w:pStyle w:val="BoardAgenda2"/>
              <w:ind w:left="720"/>
            </w:pPr>
            <w:r w:rsidRPr="003439B4">
              <w:t xml:space="preserve">1.3.4 </w:t>
            </w:r>
            <w:r>
              <w:t>To</w:t>
            </w:r>
            <w:r w:rsidRPr="003439B4">
              <w:t xml:space="preserve"> encourage participation in national and international debate on relevant topics, issues and public policy developments.</w:t>
            </w:r>
          </w:p>
          <w:p w:rsidR="00A7715E" w:rsidRPr="003439B4" w:rsidRDefault="00A7715E" w:rsidP="00A7715E">
            <w:pPr>
              <w:pStyle w:val="BoardAgenda2"/>
              <w:ind w:left="720"/>
            </w:pPr>
            <w:r w:rsidRPr="003439B4">
              <w:t xml:space="preserve">1.3.5 </w:t>
            </w:r>
            <w:r>
              <w:t>To</w:t>
            </w:r>
            <w:r w:rsidRPr="003439B4">
              <w:t xml:space="preserve"> advance the progress and activities of Australian university libraries;</w:t>
            </w:r>
          </w:p>
          <w:p w:rsidR="00A2365E" w:rsidRPr="00A7715E" w:rsidRDefault="00A7715E" w:rsidP="00A7715E">
            <w:pPr>
              <w:pStyle w:val="BoardAgenda2"/>
              <w:ind w:left="720"/>
              <w:rPr>
                <w:rFonts w:eastAsia="Arial Unicode MS"/>
                <w:u w:val="single"/>
              </w:rPr>
            </w:pPr>
            <w:r w:rsidRPr="003439B4">
              <w:t xml:space="preserve">1.3.6 </w:t>
            </w:r>
            <w:r>
              <w:t>To</w:t>
            </w:r>
            <w:r w:rsidRPr="003439B4">
              <w:t xml:space="preserve"> plan, implement and monitor cooperative activity between Australian university libraries</w:t>
            </w:r>
            <w:r>
              <w:t>.</w:t>
            </w:r>
          </w:p>
        </w:tc>
      </w:tr>
      <w:tr w:rsidR="003859A7" w:rsidRPr="00921DFA" w:rsidTr="005C153A">
        <w:tc>
          <w:tcPr>
            <w:tcW w:w="5000" w:type="pct"/>
            <w:gridSpan w:val="3"/>
            <w:tcBorders>
              <w:bottom w:val="single" w:sz="4" w:space="0" w:color="auto"/>
            </w:tcBorders>
          </w:tcPr>
          <w:p w:rsidR="009C107B" w:rsidRPr="00A370C9" w:rsidRDefault="009C107B" w:rsidP="00A370C9">
            <w:pPr>
              <w:pStyle w:val="Heading1"/>
              <w:ind w:left="0"/>
            </w:pPr>
            <w:r w:rsidRPr="003B0305">
              <w:t>The objects of CAUL</w:t>
            </w:r>
          </w:p>
          <w:p w:rsidR="009C107B" w:rsidRPr="00D811EC" w:rsidRDefault="009C107B" w:rsidP="00A370C9">
            <w:pPr>
              <w:ind w:left="0"/>
            </w:pPr>
            <w:r>
              <w:t>At the 2018/5 Executive Committee meeting I asked the following question in relation to CAUL’s incorporation:</w:t>
            </w:r>
          </w:p>
          <w:p w:rsidR="009C107B" w:rsidRDefault="009C107B" w:rsidP="00A370C9">
            <w:pPr>
              <w:ind w:left="0"/>
              <w:rPr>
                <w:i/>
              </w:rPr>
            </w:pPr>
            <w:r w:rsidRPr="00DF0312">
              <w:rPr>
                <w:i/>
              </w:rPr>
              <w:t>Do the aims, objectives and purpose adequately describe CAUL, can they in their current form be used to justify our activity or do they need revision?</w:t>
            </w:r>
          </w:p>
          <w:p w:rsidR="00385A8C" w:rsidRDefault="009C107B" w:rsidP="00A370C9">
            <w:pPr>
              <w:ind w:left="0"/>
            </w:pPr>
            <w:r>
              <w:t xml:space="preserve">Upon review I believe that these statements need updating to reflect CAUL’s current </w:t>
            </w:r>
            <w:r w:rsidR="00385A8C">
              <w:t xml:space="preserve">membership model, </w:t>
            </w:r>
            <w:r>
              <w:t xml:space="preserve">mission and </w:t>
            </w:r>
            <w:r w:rsidRPr="00AE3B04">
              <w:t xml:space="preserve">purpose. </w:t>
            </w:r>
            <w:r w:rsidR="00D52416">
              <w:t xml:space="preserve">The statements should be general in nature to allow CAUL to operate </w:t>
            </w:r>
            <w:r w:rsidR="00B57C91">
              <w:t>flexibly</w:t>
            </w:r>
            <w:r w:rsidR="00D52416">
              <w:t xml:space="preserve"> in pursuit of its mission, and so that th</w:t>
            </w:r>
            <w:r w:rsidR="00B57C91">
              <w:t>ey do not require regular updates.</w:t>
            </w:r>
            <w:r w:rsidR="00802CB6">
              <w:t xml:space="preserve"> CAUL’s current statements are listed at the end of this document.</w:t>
            </w:r>
          </w:p>
          <w:p w:rsidR="009C107B" w:rsidRPr="009C107B" w:rsidRDefault="0090610C" w:rsidP="00A370C9">
            <w:pPr>
              <w:pStyle w:val="Heading2"/>
              <w:ind w:left="0"/>
              <w:rPr>
                <w:b w:val="0"/>
              </w:rPr>
            </w:pPr>
            <w:r>
              <w:t>Background</w:t>
            </w:r>
          </w:p>
          <w:p w:rsidR="009C107B" w:rsidRDefault="009C107B" w:rsidP="00A370C9">
            <w:pPr>
              <w:ind w:left="0"/>
            </w:pPr>
            <w:r>
              <w:t>Incorporation requires that CAUL submits a set of objects (objectives and purpose statement) to Access Canberra,</w:t>
            </w:r>
            <w:r w:rsidR="00A70316">
              <w:t xml:space="preserve"> they are normally included in the constitution. These statements</w:t>
            </w:r>
            <w:r>
              <w:t xml:space="preserve"> will bind CAUL’s activity as an association – particularly in relation to what CAUL raises funds for and expends them on. </w:t>
            </w:r>
          </w:p>
          <w:p w:rsidR="009C107B" w:rsidRDefault="009C107B" w:rsidP="00A370C9">
            <w:pPr>
              <w:ind w:left="0"/>
            </w:pPr>
            <w:r>
              <w:t>The objective</w:t>
            </w:r>
            <w:r w:rsidR="00D674DC">
              <w:t>s</w:t>
            </w:r>
            <w:r>
              <w:t xml:space="preserve"> listed in CAUL’s current constitution along with CAUL’s purpose statement (Revised after the 2016 strategical planning) </w:t>
            </w:r>
            <w:r w:rsidR="00A70316">
              <w:t xml:space="preserve">can be used, but it is worth updating them to ensure that they support the kinds of activity that CAUL </w:t>
            </w:r>
            <w:r w:rsidR="007351B0">
              <w:t>wants to undertake</w:t>
            </w:r>
            <w:r w:rsidR="00A70316">
              <w:t xml:space="preserve"> as an incorporated association. </w:t>
            </w:r>
          </w:p>
          <w:p w:rsidR="009C107B" w:rsidRDefault="009C107B" w:rsidP="00A370C9">
            <w:pPr>
              <w:ind w:left="0"/>
            </w:pPr>
            <w:r>
              <w:t>In 2016 I prepared a briefing for the Executive Committee about the construction of ‘statement</w:t>
            </w:r>
            <w:r w:rsidR="00A70316">
              <w:t>s</w:t>
            </w:r>
            <w:r>
              <w:t xml:space="preserve"> about CAUL</w:t>
            </w:r>
            <w:r>
              <w:rPr>
                <w:rStyle w:val="FootnoteReference"/>
              </w:rPr>
              <w:footnoteReference w:id="1"/>
            </w:r>
            <w:r>
              <w:t>’, it offer</w:t>
            </w:r>
            <w:r w:rsidR="00D674DC">
              <w:t xml:space="preserve">ed </w:t>
            </w:r>
            <w:r>
              <w:t>specific guidance on the c</w:t>
            </w:r>
            <w:r w:rsidR="00D674DC">
              <w:t>onstruction of these statements in CAUL’s 2017-19 strategic plan.</w:t>
            </w:r>
          </w:p>
          <w:p w:rsidR="00D674DC" w:rsidRDefault="00D674DC" w:rsidP="00A370C9">
            <w:pPr>
              <w:ind w:left="0"/>
            </w:pPr>
            <w:r>
              <w:t>Particularly it listed the kinds of statements that can be made and their purpose.</w:t>
            </w:r>
          </w:p>
          <w:p w:rsidR="00D674DC" w:rsidRPr="00D674DC" w:rsidRDefault="00D674DC" w:rsidP="00A370C9">
            <w:pPr>
              <w:numPr>
                <w:ilvl w:val="0"/>
                <w:numId w:val="39"/>
              </w:numPr>
              <w:ind w:left="360"/>
            </w:pPr>
            <w:r w:rsidRPr="00D674DC">
              <w:rPr>
                <w:b/>
              </w:rPr>
              <w:t xml:space="preserve">Mission </w:t>
            </w:r>
            <w:r w:rsidRPr="00D674DC">
              <w:t>– why the organisation exists</w:t>
            </w:r>
          </w:p>
          <w:p w:rsidR="00D674DC" w:rsidRPr="00D674DC" w:rsidRDefault="00D674DC" w:rsidP="00A370C9">
            <w:pPr>
              <w:numPr>
                <w:ilvl w:val="0"/>
                <w:numId w:val="39"/>
              </w:numPr>
              <w:ind w:left="360"/>
            </w:pPr>
            <w:r w:rsidRPr="00D674DC">
              <w:rPr>
                <w:b/>
              </w:rPr>
              <w:t>Purpose</w:t>
            </w:r>
            <w:r w:rsidRPr="00D674DC">
              <w:t xml:space="preserve"> – how the organisations approaches its mission</w:t>
            </w:r>
          </w:p>
          <w:p w:rsidR="00D674DC" w:rsidRPr="00D674DC" w:rsidRDefault="00D674DC" w:rsidP="00A370C9">
            <w:pPr>
              <w:numPr>
                <w:ilvl w:val="0"/>
                <w:numId w:val="39"/>
              </w:numPr>
              <w:ind w:left="360"/>
            </w:pPr>
            <w:r w:rsidRPr="00D674DC">
              <w:rPr>
                <w:b/>
              </w:rPr>
              <w:t>Vision</w:t>
            </w:r>
            <w:r w:rsidRPr="00D674DC">
              <w:t xml:space="preserve"> – a statement about where the organisation aspires to be</w:t>
            </w:r>
          </w:p>
          <w:p w:rsidR="00D674DC" w:rsidRPr="00D674DC" w:rsidRDefault="00D674DC" w:rsidP="00A370C9">
            <w:pPr>
              <w:numPr>
                <w:ilvl w:val="0"/>
                <w:numId w:val="39"/>
              </w:numPr>
              <w:ind w:left="360"/>
            </w:pPr>
            <w:r w:rsidRPr="00D674DC">
              <w:rPr>
                <w:b/>
              </w:rPr>
              <w:t>Goals</w:t>
            </w:r>
            <w:r w:rsidRPr="00D674DC">
              <w:t xml:space="preserve"> – what the organisation wants</w:t>
            </w:r>
          </w:p>
          <w:p w:rsidR="00D674DC" w:rsidRPr="00D674DC" w:rsidRDefault="00D674DC" w:rsidP="00A370C9">
            <w:pPr>
              <w:numPr>
                <w:ilvl w:val="0"/>
                <w:numId w:val="39"/>
              </w:numPr>
              <w:ind w:left="360"/>
            </w:pPr>
            <w:r w:rsidRPr="00D674DC">
              <w:rPr>
                <w:b/>
              </w:rPr>
              <w:t xml:space="preserve">Objectives </w:t>
            </w:r>
            <w:r w:rsidRPr="00D674DC">
              <w:t>– how the organisation achieves its goals</w:t>
            </w:r>
          </w:p>
          <w:p w:rsidR="00D674DC" w:rsidRPr="00D674DC" w:rsidRDefault="00D674DC" w:rsidP="00A370C9">
            <w:pPr>
              <w:numPr>
                <w:ilvl w:val="0"/>
                <w:numId w:val="39"/>
              </w:numPr>
              <w:ind w:left="360"/>
            </w:pPr>
            <w:r w:rsidRPr="00D674DC">
              <w:rPr>
                <w:b/>
              </w:rPr>
              <w:t xml:space="preserve">Values </w:t>
            </w:r>
            <w:r w:rsidRPr="00D674DC">
              <w:t>– the desired organisational culture</w:t>
            </w:r>
          </w:p>
          <w:p w:rsidR="00D674DC" w:rsidRDefault="00D674DC" w:rsidP="00A370C9">
            <w:pPr>
              <w:numPr>
                <w:ilvl w:val="0"/>
                <w:numId w:val="39"/>
              </w:numPr>
              <w:ind w:left="360"/>
            </w:pPr>
            <w:r w:rsidRPr="00D674DC">
              <w:rPr>
                <w:b/>
              </w:rPr>
              <w:t xml:space="preserve">Principles </w:t>
            </w:r>
            <w:r w:rsidRPr="00D674DC">
              <w:t>– statements that capture the values and provide direction</w:t>
            </w:r>
          </w:p>
          <w:p w:rsidR="003D7A01" w:rsidRDefault="00D674DC" w:rsidP="00A370C9">
            <w:pPr>
              <w:ind w:left="0"/>
            </w:pPr>
            <w:r>
              <w:t>In CAUL’s case there is a set of objectives (although they are a little mixed)</w:t>
            </w:r>
            <w:r w:rsidR="003D7A01">
              <w:t xml:space="preserve"> and a </w:t>
            </w:r>
            <w:r>
              <w:t xml:space="preserve">statement which </w:t>
            </w:r>
            <w:r w:rsidR="003D7A01">
              <w:t>covers the purpose,</w:t>
            </w:r>
            <w:r>
              <w:t xml:space="preserve"> values and vision. </w:t>
            </w:r>
            <w:r w:rsidR="00356CC6">
              <w:t xml:space="preserve"> </w:t>
            </w:r>
          </w:p>
          <w:p w:rsidR="00F21181" w:rsidRDefault="00356CC6" w:rsidP="00A370C9">
            <w:pPr>
              <w:ind w:left="0"/>
            </w:pPr>
            <w:r>
              <w:t>For the purpose of incorporation CAUL’s objects simply need to be a statement (or series of statement) that address why the organisation exists</w:t>
            </w:r>
            <w:r w:rsidR="003D7A01">
              <w:t xml:space="preserve"> (and what it </w:t>
            </w:r>
            <w:r w:rsidR="0043734F">
              <w:t xml:space="preserve">exists to do). </w:t>
            </w:r>
            <w:r w:rsidR="00F21181">
              <w:t>This is a combination of a mission statement, goals and objectives.</w:t>
            </w:r>
          </w:p>
          <w:p w:rsidR="003D7A01" w:rsidRDefault="0043734F" w:rsidP="00A370C9">
            <w:pPr>
              <w:ind w:left="0"/>
            </w:pPr>
            <w:r>
              <w:t>I have included statements b</w:t>
            </w:r>
            <w:r w:rsidR="00F21181">
              <w:t xml:space="preserve">y the ACGR and ALIA as examples as both organisations take different approaches. </w:t>
            </w:r>
          </w:p>
          <w:p w:rsidR="00356CC6" w:rsidRDefault="00356CC6" w:rsidP="00E61C8A"/>
          <w:tbl>
            <w:tblPr>
              <w:tblStyle w:val="TableGrid"/>
              <w:tblW w:w="0" w:type="auto"/>
              <w:tblInd w:w="449" w:type="dxa"/>
              <w:tblLook w:val="04A0" w:firstRow="1" w:lastRow="0" w:firstColumn="1" w:lastColumn="0" w:noHBand="0" w:noVBand="1"/>
            </w:tblPr>
            <w:tblGrid>
              <w:gridCol w:w="7200"/>
            </w:tblGrid>
            <w:tr w:rsidR="0043734F" w:rsidTr="0043734F">
              <w:trPr>
                <w:trHeight w:val="510"/>
              </w:trPr>
              <w:tc>
                <w:tcPr>
                  <w:tcW w:w="7200" w:type="dxa"/>
                  <w:shd w:val="clear" w:color="auto" w:fill="E7E6E6" w:themeFill="background2"/>
                </w:tcPr>
                <w:p w:rsidR="0043734F" w:rsidRDefault="0043734F" w:rsidP="003D7A01">
                  <w:pPr>
                    <w:spacing w:after="60"/>
                    <w:ind w:left="0"/>
                    <w:rPr>
                      <w:b/>
                    </w:rPr>
                  </w:pPr>
                  <w:r>
                    <w:rPr>
                      <w:b/>
                    </w:rPr>
                    <w:t>Examples</w:t>
                  </w:r>
                </w:p>
              </w:tc>
            </w:tr>
            <w:tr w:rsidR="009C107B" w:rsidTr="00F21181">
              <w:trPr>
                <w:trHeight w:val="2211"/>
              </w:trPr>
              <w:tc>
                <w:tcPr>
                  <w:tcW w:w="7200" w:type="dxa"/>
                </w:tcPr>
                <w:p w:rsidR="003D7A01" w:rsidRDefault="003D7A01" w:rsidP="003D7A01">
                  <w:pPr>
                    <w:spacing w:after="60"/>
                    <w:ind w:left="0"/>
                    <w:rPr>
                      <w:b/>
                    </w:rPr>
                  </w:pPr>
                  <w:r>
                    <w:rPr>
                      <w:b/>
                    </w:rPr>
                    <w:t>ALIA</w:t>
                  </w:r>
                  <w:r w:rsidR="00B677AB">
                    <w:rPr>
                      <w:rStyle w:val="FootnoteReference"/>
                      <w:b/>
                    </w:rPr>
                    <w:footnoteReference w:id="2"/>
                  </w:r>
                </w:p>
                <w:p w:rsidR="003D7A01" w:rsidRDefault="003D7A01" w:rsidP="003D7A01">
                  <w:pPr>
                    <w:spacing w:after="60"/>
                    <w:ind w:left="0"/>
                    <w:rPr>
                      <w:b/>
                    </w:rPr>
                  </w:pPr>
                  <w:r w:rsidRPr="003D7A01">
                    <w:rPr>
                      <w:b/>
                    </w:rPr>
                    <w:t xml:space="preserve">3.2 OBJECTS </w:t>
                  </w:r>
                </w:p>
                <w:p w:rsidR="003D7A01" w:rsidRPr="003D7A01" w:rsidRDefault="003D7A01" w:rsidP="003D7A01">
                  <w:pPr>
                    <w:spacing w:after="60"/>
                    <w:ind w:left="0"/>
                  </w:pPr>
                  <w:r w:rsidRPr="003D7A01">
                    <w:t xml:space="preserve">a) To promote the free flow of information and ideas in the interest of all Australians and a thriving culture, economy, environment and democracy. </w:t>
                  </w:r>
                </w:p>
                <w:p w:rsidR="003D7A01" w:rsidRPr="003D7A01" w:rsidRDefault="003D7A01" w:rsidP="003D7A01">
                  <w:pPr>
                    <w:spacing w:after="60"/>
                    <w:ind w:left="0"/>
                  </w:pPr>
                  <w:r w:rsidRPr="003D7A01">
                    <w:t xml:space="preserve">b) To promote and improve the services provided by all kinds of library and information agencies; </w:t>
                  </w:r>
                </w:p>
                <w:p w:rsidR="003D7A01" w:rsidRPr="003D7A01" w:rsidRDefault="003D7A01" w:rsidP="003D7A01">
                  <w:pPr>
                    <w:spacing w:after="60"/>
                    <w:ind w:left="0"/>
                  </w:pPr>
                  <w:r w:rsidRPr="003D7A01">
                    <w:t xml:space="preserve">c) To ensure the high standard of personnel engaged in information provision and foster their professional interests and aspirations; </w:t>
                  </w:r>
                </w:p>
                <w:p w:rsidR="003D7A01" w:rsidRPr="003D7A01" w:rsidRDefault="003D7A01" w:rsidP="003D7A01">
                  <w:pPr>
                    <w:spacing w:after="60"/>
                    <w:ind w:left="0"/>
                  </w:pPr>
                  <w:r w:rsidRPr="003D7A01">
                    <w:t xml:space="preserve">d) To represent the interests of Members to governments, other organisations and the community; and </w:t>
                  </w:r>
                </w:p>
                <w:p w:rsidR="003D7A01" w:rsidRPr="003D7A01" w:rsidRDefault="003D7A01" w:rsidP="003D7A01">
                  <w:pPr>
                    <w:spacing w:after="60"/>
                    <w:ind w:left="0"/>
                  </w:pPr>
                  <w:r w:rsidRPr="003D7A01">
                    <w:t xml:space="preserve">e) To encourage people to contribute to the improvement of library and information services through support and membership of the Association. </w:t>
                  </w:r>
                </w:p>
                <w:p w:rsidR="003D7A01" w:rsidRPr="003D7A01" w:rsidRDefault="003D7A01" w:rsidP="003D7A01">
                  <w:pPr>
                    <w:spacing w:after="60"/>
                    <w:ind w:left="0"/>
                  </w:pPr>
                  <w:r w:rsidRPr="003D7A01">
                    <w:t xml:space="preserve">f) To endorse the principles of the United Nations Universal Declaration of Human </w:t>
                  </w:r>
                  <w:r w:rsidR="00C02666" w:rsidRPr="003D7A01">
                    <w:t>Rights Article</w:t>
                  </w:r>
                  <w:r w:rsidRPr="003D7A01">
                    <w:t xml:space="preserve"> 19 and the 2030 Sustainable Development Goals in response to the many challenges faced by the world today and into the future.</w:t>
                  </w:r>
                </w:p>
                <w:p w:rsidR="003D7A01" w:rsidRDefault="003D7A01" w:rsidP="003D7A01">
                  <w:pPr>
                    <w:spacing w:after="60"/>
                    <w:ind w:left="0"/>
                    <w:rPr>
                      <w:b/>
                    </w:rPr>
                  </w:pPr>
                  <w:r>
                    <w:rPr>
                      <w:b/>
                    </w:rPr>
                    <w:lastRenderedPageBreak/>
                    <w:t>ACGR</w:t>
                  </w:r>
                  <w:r w:rsidR="00B677AB">
                    <w:rPr>
                      <w:rStyle w:val="FootnoteReference"/>
                    </w:rPr>
                    <w:footnoteReference w:id="3"/>
                  </w:r>
                </w:p>
                <w:p w:rsidR="009C107B" w:rsidRPr="00C92666" w:rsidRDefault="009C107B" w:rsidP="003D7A01">
                  <w:pPr>
                    <w:spacing w:after="60"/>
                    <w:ind w:left="0"/>
                    <w:rPr>
                      <w:b/>
                    </w:rPr>
                  </w:pPr>
                  <w:r w:rsidRPr="00C92666">
                    <w:rPr>
                      <w:b/>
                    </w:rPr>
                    <w:t xml:space="preserve">3. OBJECTIVE </w:t>
                  </w:r>
                </w:p>
                <w:p w:rsidR="009C107B" w:rsidRDefault="009C107B" w:rsidP="003D7A01">
                  <w:pPr>
                    <w:spacing w:after="60"/>
                    <w:ind w:left="0"/>
                  </w:pPr>
                  <w:r w:rsidRPr="00C92666">
                    <w:t xml:space="preserve">3.1 The mission of the Australian Council of Graduate Research is to promote excellence in research training and scholarship and to promote high standards for all higher degree by research programs nationally. </w:t>
                  </w:r>
                </w:p>
                <w:p w:rsidR="009C107B" w:rsidRDefault="009C107B" w:rsidP="003D7A01">
                  <w:pPr>
                    <w:spacing w:after="60"/>
                    <w:ind w:left="0"/>
                  </w:pPr>
                  <w:r w:rsidRPr="00C92666">
                    <w:t xml:space="preserve">3.2 The areas of focus for the Council are: </w:t>
                  </w:r>
                </w:p>
                <w:p w:rsidR="009C107B" w:rsidRDefault="009C107B" w:rsidP="003D7A01">
                  <w:pPr>
                    <w:pStyle w:val="ListParagraph"/>
                    <w:numPr>
                      <w:ilvl w:val="0"/>
                      <w:numId w:val="30"/>
                    </w:numPr>
                    <w:spacing w:after="60" w:line="240" w:lineRule="auto"/>
                    <w:ind w:left="360"/>
                  </w:pPr>
                  <w:r w:rsidRPr="00C92666">
                    <w:t xml:space="preserve">Developing and promoting quality research training across the sector </w:t>
                  </w:r>
                </w:p>
                <w:p w:rsidR="009C107B" w:rsidRDefault="009C107B" w:rsidP="003D7A01">
                  <w:pPr>
                    <w:pStyle w:val="ListParagraph"/>
                    <w:numPr>
                      <w:ilvl w:val="0"/>
                      <w:numId w:val="30"/>
                    </w:numPr>
                    <w:spacing w:after="60" w:line="240" w:lineRule="auto"/>
                    <w:ind w:left="360"/>
                  </w:pPr>
                  <w:r w:rsidRPr="00C92666">
                    <w:t xml:space="preserve">Interacting with Government and influencing development of policy, standards and reference points related to research training </w:t>
                  </w:r>
                </w:p>
                <w:p w:rsidR="009C107B" w:rsidRDefault="009C107B" w:rsidP="003D7A01">
                  <w:pPr>
                    <w:pStyle w:val="ListParagraph"/>
                    <w:numPr>
                      <w:ilvl w:val="0"/>
                      <w:numId w:val="30"/>
                    </w:numPr>
                    <w:spacing w:after="60" w:line="240" w:lineRule="auto"/>
                    <w:ind w:left="360"/>
                  </w:pPr>
                  <w:r w:rsidRPr="00C92666">
                    <w:t xml:space="preserve">Providing a forum for networking and practice sharing between leaders of graduate research nationally </w:t>
                  </w:r>
                </w:p>
                <w:p w:rsidR="009C107B" w:rsidRDefault="009C107B" w:rsidP="003D7A01">
                  <w:pPr>
                    <w:pStyle w:val="ListParagraph"/>
                    <w:numPr>
                      <w:ilvl w:val="0"/>
                      <w:numId w:val="30"/>
                    </w:numPr>
                    <w:spacing w:after="60" w:line="240" w:lineRule="auto"/>
                    <w:ind w:left="360"/>
                  </w:pPr>
                  <w:r w:rsidRPr="00C92666">
                    <w:t xml:space="preserve">Engaging with equivalent bodies internationally </w:t>
                  </w:r>
                </w:p>
                <w:p w:rsidR="009C107B" w:rsidRDefault="009C107B" w:rsidP="003D7A01">
                  <w:pPr>
                    <w:spacing w:after="60"/>
                    <w:ind w:left="0"/>
                  </w:pPr>
                  <w:r w:rsidRPr="00C92666">
                    <w:t>3.3 The Council provides Graduate School Deans, Directors and industry partners with an opportunity to share ideas, exchange professional development resources, and network.</w:t>
                  </w:r>
                </w:p>
              </w:tc>
            </w:tr>
          </w:tbl>
          <w:p w:rsidR="00D17678" w:rsidRDefault="00D17678" w:rsidP="00A370C9">
            <w:pPr>
              <w:ind w:left="0"/>
            </w:pPr>
            <w:r>
              <w:lastRenderedPageBreak/>
              <w:t>The ACGR statement uses a mission statement, while ALIA’s objects are broken down in to a series of statements (similar to CAUL’s objectives). Both ACGR and ALIA use broad and general language when describing their organisations objects.</w:t>
            </w:r>
          </w:p>
          <w:p w:rsidR="00D17678" w:rsidRDefault="00D17678" w:rsidP="00A370C9">
            <w:pPr>
              <w:ind w:left="0"/>
            </w:pPr>
            <w:r>
              <w:t xml:space="preserve">CAUL’s objectives </w:t>
            </w:r>
            <w:r w:rsidR="00217124">
              <w:t xml:space="preserve">are a mixture of broad statements with specific elements. </w:t>
            </w:r>
            <w:r w:rsidR="006E5F97">
              <w:t xml:space="preserve">The board parts of these statement could be separated to make them less </w:t>
            </w:r>
            <w:r w:rsidR="00B95DC1">
              <w:t>prescriptive</w:t>
            </w:r>
            <w:r w:rsidR="006E5F97">
              <w:t>.</w:t>
            </w:r>
            <w:r w:rsidR="00217124">
              <w:t xml:space="preserve"> </w:t>
            </w:r>
          </w:p>
          <w:p w:rsidR="00142F9A" w:rsidRDefault="00142F9A" w:rsidP="00A370C9">
            <w:pPr>
              <w:ind w:left="0"/>
            </w:pPr>
            <w:r>
              <w:t xml:space="preserve">For example statement 1.1.1: </w:t>
            </w:r>
          </w:p>
          <w:p w:rsidR="00142F9A" w:rsidRDefault="00142F9A" w:rsidP="00A370C9">
            <w:pPr>
              <w:pStyle w:val="ListParagraph"/>
              <w:numPr>
                <w:ilvl w:val="0"/>
                <w:numId w:val="40"/>
              </w:numPr>
              <w:ind w:left="720"/>
            </w:pPr>
            <w:r>
              <w:t xml:space="preserve">[Keep] </w:t>
            </w:r>
            <w:r w:rsidRPr="00142F9A">
              <w:t>to advance the progress and activities of Australian university libraries</w:t>
            </w:r>
          </w:p>
          <w:p w:rsidR="00142F9A" w:rsidRDefault="00142F9A" w:rsidP="00A370C9">
            <w:pPr>
              <w:pStyle w:val="ListParagraph"/>
              <w:numPr>
                <w:ilvl w:val="0"/>
                <w:numId w:val="40"/>
              </w:numPr>
              <w:ind w:left="720"/>
            </w:pPr>
            <w:r>
              <w:t>[Remove]</w:t>
            </w:r>
            <w:r w:rsidRPr="00142F9A">
              <w:t xml:space="preserve"> in support of teaching, learning and research at their institutions;</w:t>
            </w:r>
          </w:p>
          <w:p w:rsidR="0043734F" w:rsidRDefault="006E5F97" w:rsidP="00A370C9">
            <w:pPr>
              <w:ind w:left="0"/>
            </w:pPr>
            <w:r>
              <w:t>The context</w:t>
            </w:r>
            <w:r w:rsidR="00142F9A">
              <w:t>ual part can</w:t>
            </w:r>
            <w:r>
              <w:t xml:space="preserve"> be constructed and maintained </w:t>
            </w:r>
            <w:r w:rsidR="00142F9A">
              <w:t xml:space="preserve">as part of another statement (purpose, values etc.) </w:t>
            </w:r>
            <w:r>
              <w:t>outside</w:t>
            </w:r>
            <w:r w:rsidR="00142F9A">
              <w:t xml:space="preserve"> of</w:t>
            </w:r>
            <w:r>
              <w:t xml:space="preserve"> the constitution so that </w:t>
            </w:r>
            <w:r w:rsidR="00142F9A">
              <w:t xml:space="preserve">it </w:t>
            </w:r>
            <w:r>
              <w:t>can easily be updated.</w:t>
            </w:r>
            <w:r w:rsidR="00B677AB">
              <w:t xml:space="preserve"> In this way the objectives can form a set of foundational statement on which others can built.</w:t>
            </w:r>
          </w:p>
          <w:p w:rsidR="0048121A" w:rsidRDefault="00375AA0" w:rsidP="00A370C9">
            <w:pPr>
              <w:ind w:left="0"/>
            </w:pPr>
            <w:r>
              <w:t>My review of CAUL’s membership model has also highlighted the need to balance statements about CAUL’s members with those about libraries, so that these statements reflect CAUL’s hybrid professional/industry association model.</w:t>
            </w:r>
          </w:p>
          <w:p w:rsidR="00C02666" w:rsidRPr="00C02666" w:rsidRDefault="00C02666" w:rsidP="00A370C9">
            <w:pPr>
              <w:ind w:left="0"/>
              <w:rPr>
                <w:b/>
                <w:sz w:val="24"/>
                <w:szCs w:val="24"/>
                <w:u w:val="single"/>
              </w:rPr>
            </w:pPr>
            <w:r w:rsidRPr="00C02666">
              <w:rPr>
                <w:b/>
                <w:sz w:val="24"/>
                <w:szCs w:val="24"/>
                <w:u w:val="single"/>
              </w:rPr>
              <w:t>Recommendation to the Executive:</w:t>
            </w:r>
          </w:p>
          <w:p w:rsidR="0090610C" w:rsidRDefault="0090610C" w:rsidP="00A370C9">
            <w:pPr>
              <w:ind w:left="0"/>
            </w:pPr>
            <w:r>
              <w:t xml:space="preserve">Based on this assessment </w:t>
            </w:r>
            <w:r w:rsidRPr="00062F40">
              <w:t>I recommend that the Executive Committee consider updating the organisation</w:t>
            </w:r>
            <w:r w:rsidR="00C02666">
              <w:t>’</w:t>
            </w:r>
            <w:r w:rsidRPr="00062F40">
              <w:t>s objects as follows:</w:t>
            </w:r>
          </w:p>
          <w:p w:rsidR="00C02666" w:rsidRPr="009C107B" w:rsidRDefault="00C02666" w:rsidP="00C02666">
            <w:pPr>
              <w:ind w:left="0"/>
              <w:rPr>
                <w:b/>
              </w:rPr>
            </w:pPr>
            <w:r>
              <w:rPr>
                <w:b/>
              </w:rPr>
              <w:t>From CAUL’s current constitution</w:t>
            </w:r>
            <w:r w:rsidRPr="009C107B">
              <w:rPr>
                <w:b/>
              </w:rPr>
              <w:t>:</w:t>
            </w:r>
          </w:p>
          <w:p w:rsidR="00C02666" w:rsidRDefault="00C02666" w:rsidP="00C02666">
            <w:pPr>
              <w:pStyle w:val="ListParagraph"/>
              <w:numPr>
                <w:ilvl w:val="1"/>
                <w:numId w:val="38"/>
              </w:numPr>
              <w:ind w:left="360"/>
            </w:pPr>
            <w:r w:rsidRPr="00385A8C">
              <w:t>The objectives of the Council of Australian University L</w:t>
            </w:r>
            <w:r>
              <w:t>ibrarians (CAUL) shall include:</w:t>
            </w:r>
          </w:p>
          <w:p w:rsidR="00C02666" w:rsidRDefault="00C02666" w:rsidP="00C02666">
            <w:pPr>
              <w:pStyle w:val="ListParagraph"/>
              <w:numPr>
                <w:ilvl w:val="2"/>
                <w:numId w:val="38"/>
              </w:numPr>
              <w:ind w:left="585" w:hanging="567"/>
            </w:pPr>
            <w:r w:rsidRPr="00385A8C">
              <w:t xml:space="preserve">to advance the progress and activities of Australian university libraries in support of teaching, learning and research at their institutions; </w:t>
            </w:r>
          </w:p>
          <w:p w:rsidR="00C02666" w:rsidRDefault="00C02666" w:rsidP="00C02666">
            <w:pPr>
              <w:pStyle w:val="ListParagraph"/>
              <w:numPr>
                <w:ilvl w:val="2"/>
                <w:numId w:val="38"/>
              </w:numPr>
              <w:ind w:left="585" w:hanging="567"/>
            </w:pPr>
            <w:r w:rsidRPr="00385A8C">
              <w:t xml:space="preserve">to plan, implement and monitor cooperative activities between Australian university libraries, including assuming responsibility for the coordination or operation of such activities as agreed by the members; </w:t>
            </w:r>
          </w:p>
          <w:p w:rsidR="00C02666" w:rsidRDefault="00C02666" w:rsidP="00C02666">
            <w:pPr>
              <w:pStyle w:val="ListParagraph"/>
              <w:numPr>
                <w:ilvl w:val="2"/>
                <w:numId w:val="38"/>
              </w:numPr>
              <w:ind w:left="585" w:hanging="567"/>
            </w:pPr>
            <w:r w:rsidRPr="00385A8C">
              <w:t>to provide an effective forum for information exchange between A</w:t>
            </w:r>
            <w:r>
              <w:t>ustralian university libraries;</w:t>
            </w:r>
          </w:p>
          <w:p w:rsidR="00C02666" w:rsidRDefault="00C02666" w:rsidP="00C02666">
            <w:pPr>
              <w:pStyle w:val="ListParagraph"/>
              <w:numPr>
                <w:ilvl w:val="2"/>
                <w:numId w:val="38"/>
              </w:numPr>
              <w:ind w:left="585" w:hanging="567"/>
            </w:pPr>
            <w:r w:rsidRPr="00385A8C">
              <w:t xml:space="preserve">to encourage participation in Australian and international debate on relevant developments in higher education and libraries and information services; </w:t>
            </w:r>
          </w:p>
          <w:p w:rsidR="00C02666" w:rsidRDefault="00C02666" w:rsidP="00C02666">
            <w:pPr>
              <w:pStyle w:val="ListParagraph"/>
              <w:numPr>
                <w:ilvl w:val="2"/>
                <w:numId w:val="38"/>
              </w:numPr>
              <w:ind w:left="585" w:hanging="567"/>
            </w:pPr>
            <w:r w:rsidRPr="00385A8C">
              <w:t>to foster communication with Universities Australia and other relevant national co</w:t>
            </w:r>
            <w:r>
              <w:t>mmittees and organisations; and</w:t>
            </w:r>
          </w:p>
          <w:p w:rsidR="00C02666" w:rsidRDefault="00C02666" w:rsidP="00C02666">
            <w:pPr>
              <w:pStyle w:val="ListParagraph"/>
              <w:numPr>
                <w:ilvl w:val="2"/>
                <w:numId w:val="38"/>
              </w:numPr>
              <w:ind w:left="585" w:hanging="567"/>
            </w:pPr>
            <w:proofErr w:type="gramStart"/>
            <w:r w:rsidRPr="00385A8C">
              <w:t>to</w:t>
            </w:r>
            <w:proofErr w:type="gramEnd"/>
            <w:r w:rsidRPr="00385A8C">
              <w:t xml:space="preserve"> establish and pursue a strategic plan and to do such other things as are conducive to the achievement of these objectives.</w:t>
            </w:r>
          </w:p>
          <w:p w:rsidR="00C02666" w:rsidRPr="00C02666" w:rsidRDefault="00C02666" w:rsidP="00C02666">
            <w:pPr>
              <w:ind w:left="0"/>
              <w:rPr>
                <w:b/>
              </w:rPr>
            </w:pPr>
            <w:r w:rsidRPr="00C02666">
              <w:rPr>
                <w:b/>
              </w:rPr>
              <w:t>To CAUL’s new constitution:</w:t>
            </w:r>
          </w:p>
          <w:p w:rsidR="0090610C" w:rsidRPr="0090610C" w:rsidRDefault="0090610C" w:rsidP="00A370C9">
            <w:pPr>
              <w:ind w:left="0"/>
              <w:rPr>
                <w:b/>
              </w:rPr>
            </w:pPr>
            <w:r w:rsidRPr="0090610C">
              <w:rPr>
                <w:b/>
              </w:rPr>
              <w:t>1.3 Objectives:</w:t>
            </w:r>
          </w:p>
          <w:p w:rsidR="001D34FC" w:rsidRDefault="001D34FC" w:rsidP="00A370C9">
            <w:pPr>
              <w:ind w:left="0"/>
            </w:pPr>
            <w:r>
              <w:t xml:space="preserve">1.3.1 To act for the benefit of </w:t>
            </w:r>
            <w:r w:rsidR="00C02666">
              <w:t>its</w:t>
            </w:r>
            <w:r>
              <w:t xml:space="preserve"> members by serving their needs and interests;</w:t>
            </w:r>
          </w:p>
          <w:p w:rsidR="001D34FC" w:rsidRDefault="001D34FC" w:rsidP="00A370C9">
            <w:pPr>
              <w:ind w:left="0"/>
            </w:pPr>
            <w:r>
              <w:t>1.3.2 To represent the needs and interests of its members to government, the community and other organisations;</w:t>
            </w:r>
          </w:p>
          <w:p w:rsidR="001D34FC" w:rsidRDefault="001D34FC" w:rsidP="00A370C9">
            <w:pPr>
              <w:ind w:left="0"/>
            </w:pPr>
            <w:r>
              <w:t>1.3.3 To promote the sharing of practice, information and ideas among its members;</w:t>
            </w:r>
          </w:p>
          <w:p w:rsidR="001D34FC" w:rsidRDefault="001D34FC" w:rsidP="00A370C9">
            <w:pPr>
              <w:ind w:left="0"/>
            </w:pPr>
            <w:r>
              <w:t>1.3.4 T</w:t>
            </w:r>
            <w:r w:rsidRPr="00A80188">
              <w:t>o encourage</w:t>
            </w:r>
            <w:r>
              <w:t xml:space="preserve"> </w:t>
            </w:r>
            <w:r w:rsidRPr="00A80188">
              <w:t xml:space="preserve">participation in </w:t>
            </w:r>
            <w:r>
              <w:t>national</w:t>
            </w:r>
            <w:r w:rsidRPr="00A80188">
              <w:t xml:space="preserve"> and international debate on</w:t>
            </w:r>
            <w:r>
              <w:t xml:space="preserve"> relevant topics, issues and public policy</w:t>
            </w:r>
            <w:r w:rsidRPr="00A80188">
              <w:t xml:space="preserve"> developments</w:t>
            </w:r>
            <w:r>
              <w:t>.</w:t>
            </w:r>
          </w:p>
          <w:p w:rsidR="001D34FC" w:rsidRDefault="001D34FC" w:rsidP="00A370C9">
            <w:pPr>
              <w:ind w:left="0"/>
            </w:pPr>
            <w:r>
              <w:t>1.3.5 To advance the progress and activities of Australian university libraries;</w:t>
            </w:r>
          </w:p>
          <w:p w:rsidR="001D34FC" w:rsidRDefault="001D34FC" w:rsidP="00A370C9">
            <w:pPr>
              <w:ind w:left="0"/>
            </w:pPr>
            <w:r>
              <w:lastRenderedPageBreak/>
              <w:t>1.3.6 To plan, implement and monitor cooperative activity between Australian university libraries;</w:t>
            </w:r>
          </w:p>
          <w:p w:rsidR="00C02666" w:rsidRPr="00FD002D" w:rsidRDefault="00C02666" w:rsidP="00C02666">
            <w:pPr>
              <w:ind w:left="0"/>
              <w:rPr>
                <w:i/>
              </w:rPr>
            </w:pPr>
            <w:r w:rsidRPr="00FD002D">
              <w:rPr>
                <w:i/>
              </w:rPr>
              <w:t>[*</w:t>
            </w:r>
            <w:r>
              <w:rPr>
                <w:i/>
              </w:rPr>
              <w:t>S</w:t>
            </w:r>
            <w:r w:rsidRPr="00FD002D">
              <w:rPr>
                <w:i/>
              </w:rPr>
              <w:t>tatement</w:t>
            </w:r>
            <w:r>
              <w:rPr>
                <w:i/>
              </w:rPr>
              <w:t>s 1.1.5 and</w:t>
            </w:r>
            <w:r w:rsidRPr="00FD002D">
              <w:rPr>
                <w:i/>
              </w:rPr>
              <w:t xml:space="preserve"> </w:t>
            </w:r>
            <w:r>
              <w:rPr>
                <w:i/>
              </w:rPr>
              <w:t xml:space="preserve">1.1.6 will be kept but </w:t>
            </w:r>
            <w:r w:rsidRPr="00FD002D">
              <w:rPr>
                <w:i/>
              </w:rPr>
              <w:t>ha</w:t>
            </w:r>
            <w:r>
              <w:rPr>
                <w:i/>
              </w:rPr>
              <w:t>ve</w:t>
            </w:r>
            <w:r w:rsidRPr="00FD002D">
              <w:rPr>
                <w:i/>
              </w:rPr>
              <w:t xml:space="preserve"> been moved to be part of the Board’s function</w:t>
            </w:r>
            <w:r>
              <w:rPr>
                <w:i/>
              </w:rPr>
              <w:t xml:space="preserve"> in the Constitution</w:t>
            </w:r>
            <w:r w:rsidRPr="00FD002D">
              <w:rPr>
                <w:i/>
              </w:rPr>
              <w:t>]</w:t>
            </w:r>
            <w:r>
              <w:rPr>
                <w:i/>
              </w:rPr>
              <w:t>.</w:t>
            </w:r>
          </w:p>
          <w:p w:rsidR="009C107B" w:rsidRPr="00C02666" w:rsidRDefault="00C02666" w:rsidP="00A370C9">
            <w:pPr>
              <w:ind w:left="0"/>
              <w:rPr>
                <w:b/>
                <w:sz w:val="24"/>
                <w:szCs w:val="24"/>
              </w:rPr>
            </w:pPr>
            <w:r>
              <w:rPr>
                <w:b/>
                <w:sz w:val="24"/>
                <w:szCs w:val="24"/>
                <w:u w:val="single"/>
              </w:rPr>
              <w:t xml:space="preserve">Other </w:t>
            </w:r>
            <w:r w:rsidR="009C107B" w:rsidRPr="00C02666">
              <w:rPr>
                <w:b/>
                <w:sz w:val="24"/>
                <w:szCs w:val="24"/>
                <w:u w:val="single"/>
              </w:rPr>
              <w:t>Current Statements about CAUL</w:t>
            </w:r>
            <w:r w:rsidR="0090610C" w:rsidRPr="00C02666">
              <w:rPr>
                <w:b/>
                <w:sz w:val="24"/>
                <w:szCs w:val="24"/>
                <w:u w:val="single"/>
              </w:rPr>
              <w:t xml:space="preserve"> (for reference</w:t>
            </w:r>
            <w:r w:rsidR="0090610C" w:rsidRPr="00C02666">
              <w:rPr>
                <w:b/>
                <w:sz w:val="24"/>
                <w:szCs w:val="24"/>
              </w:rPr>
              <w:t>)</w:t>
            </w:r>
          </w:p>
          <w:p w:rsidR="009C107B" w:rsidRPr="00D3030A" w:rsidRDefault="009C107B" w:rsidP="00A370C9">
            <w:pPr>
              <w:ind w:left="0"/>
            </w:pPr>
            <w:r>
              <w:t>That society is transformed through the power of research, teaching and learning. University libraries are essential knowledge and information infrastructures that enable student achievement and research excellence.  CAUL makes a significant contribution to higher education strategy, policy and outcomes through a commitment to a shared purpose:</w:t>
            </w:r>
          </w:p>
          <w:p w:rsidR="009C107B" w:rsidRPr="00D3030A" w:rsidRDefault="009C107B" w:rsidP="00A370C9">
            <w:pPr>
              <w:ind w:left="0"/>
              <w:rPr>
                <w:b/>
              </w:rPr>
            </w:pPr>
            <w:r w:rsidRPr="003E33C0">
              <w:rPr>
                <w:b/>
              </w:rPr>
              <w:t>To transform how people experience knowledge – how it can be discovered, used and shared.</w:t>
            </w:r>
          </w:p>
          <w:p w:rsidR="009C107B" w:rsidRDefault="009C107B" w:rsidP="00A370C9">
            <w:pPr>
              <w:ind w:left="0"/>
            </w:pPr>
            <w:r>
              <w:t>University libraries and library organisations broadly play a leading role in enabling fair, affordable and open access to knowledge. They are also instrumental in building society’s capacity for digital dexterity – fluency in the use of digital technology, skills and essential literacies.</w:t>
            </w:r>
          </w:p>
          <w:p w:rsidR="009C107B" w:rsidRPr="009C107B" w:rsidRDefault="009C107B" w:rsidP="00A370C9">
            <w:pPr>
              <w:ind w:left="18"/>
              <w:rPr>
                <w:b/>
              </w:rPr>
            </w:pPr>
            <w:r w:rsidRPr="009C107B">
              <w:rPr>
                <w:b/>
                <w:bCs/>
              </w:rPr>
              <w:t>The membership benefits of CAUL include:</w:t>
            </w:r>
          </w:p>
          <w:p w:rsidR="009C107B" w:rsidRPr="00B5628A" w:rsidRDefault="009C107B" w:rsidP="00A370C9">
            <w:pPr>
              <w:pStyle w:val="ListParagraph"/>
              <w:numPr>
                <w:ilvl w:val="0"/>
                <w:numId w:val="32"/>
              </w:numPr>
              <w:ind w:left="378"/>
            </w:pPr>
            <w:r w:rsidRPr="00B5628A">
              <w:t>Advocacy and promotion of Australian university libraries, and their enabling of student achievement and research excellence;</w:t>
            </w:r>
          </w:p>
          <w:p w:rsidR="009C107B" w:rsidRPr="00B5628A" w:rsidRDefault="009C107B" w:rsidP="00A370C9">
            <w:pPr>
              <w:pStyle w:val="ListParagraph"/>
              <w:numPr>
                <w:ilvl w:val="0"/>
                <w:numId w:val="32"/>
              </w:numPr>
              <w:ind w:left="378"/>
            </w:pPr>
            <w:r w:rsidRPr="00B5628A">
              <w:t>Representation of views and interests to government, regulators and other key stakeholders;</w:t>
            </w:r>
          </w:p>
          <w:p w:rsidR="009C107B" w:rsidRPr="00B5628A" w:rsidRDefault="009C107B" w:rsidP="00A370C9">
            <w:pPr>
              <w:pStyle w:val="ListParagraph"/>
              <w:numPr>
                <w:ilvl w:val="0"/>
                <w:numId w:val="32"/>
              </w:numPr>
              <w:ind w:left="378"/>
            </w:pPr>
            <w:r w:rsidRPr="00B5628A">
              <w:t>Establishing and fostering collaborations with allied organisations within Australia and internationally;</w:t>
            </w:r>
          </w:p>
          <w:p w:rsidR="009C107B" w:rsidRPr="00B5628A" w:rsidRDefault="009C107B" w:rsidP="00A370C9">
            <w:pPr>
              <w:pStyle w:val="ListParagraph"/>
              <w:numPr>
                <w:ilvl w:val="0"/>
                <w:numId w:val="32"/>
              </w:numPr>
              <w:ind w:left="378"/>
            </w:pPr>
            <w:r w:rsidRPr="00B5628A">
              <w:t>Skilled negotiation for sector-wide agreements for the procurement of electronic information resources;</w:t>
            </w:r>
          </w:p>
          <w:p w:rsidR="009C107B" w:rsidRPr="00B5628A" w:rsidRDefault="009C107B" w:rsidP="00A370C9">
            <w:pPr>
              <w:pStyle w:val="ListParagraph"/>
              <w:numPr>
                <w:ilvl w:val="0"/>
                <w:numId w:val="32"/>
              </w:numPr>
              <w:ind w:left="378"/>
            </w:pPr>
            <w:r w:rsidRPr="00B5628A">
              <w:t>Access to leading and innovative models and resources for the advancement of university libraries;</w:t>
            </w:r>
          </w:p>
          <w:p w:rsidR="000461B4" w:rsidRPr="000120A1" w:rsidRDefault="009C107B" w:rsidP="00A370C9">
            <w:pPr>
              <w:pStyle w:val="ListParagraph"/>
              <w:numPr>
                <w:ilvl w:val="0"/>
                <w:numId w:val="32"/>
              </w:numPr>
              <w:ind w:left="378"/>
            </w:pPr>
            <w:r w:rsidRPr="00B5628A">
              <w:t>Access to an extensive program of events and special interest groups.</w:t>
            </w:r>
          </w:p>
        </w:tc>
      </w:tr>
      <w:tr w:rsidR="003859A7" w:rsidRPr="00921DFA" w:rsidTr="005A0F61">
        <w:tc>
          <w:tcPr>
            <w:tcW w:w="5000" w:type="pct"/>
            <w:gridSpan w:val="3"/>
          </w:tcPr>
          <w:p w:rsidR="001061F5" w:rsidRPr="00827895" w:rsidRDefault="001061F5" w:rsidP="002039BF">
            <w:pPr>
              <w:spacing w:after="120"/>
              <w:rPr>
                <w:rFonts w:cs="Tahoma"/>
              </w:rPr>
            </w:pPr>
          </w:p>
        </w:tc>
      </w:tr>
    </w:tbl>
    <w:p w:rsidR="00CD061A" w:rsidRPr="00921DFA" w:rsidRDefault="00CD061A" w:rsidP="00241E1E">
      <w:pPr>
        <w:pStyle w:val="Footer"/>
        <w:spacing w:after="120"/>
        <w:ind w:right="360"/>
        <w:rPr>
          <w:rFonts w:ascii="Tahoma" w:hAnsi="Tahoma" w:cs="Tahoma"/>
          <w:sz w:val="20"/>
          <w:szCs w:val="20"/>
          <w:lang w:val="en-US"/>
        </w:rPr>
      </w:pPr>
    </w:p>
    <w:sectPr w:rsidR="00CD061A" w:rsidRPr="00921DFA" w:rsidSect="00012467">
      <w:footerReference w:type="even"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9A" w:rsidRDefault="0005699A">
      <w:r>
        <w:separator/>
      </w:r>
    </w:p>
  </w:endnote>
  <w:endnote w:type="continuationSeparator" w:id="0">
    <w:p w:rsidR="0005699A" w:rsidRDefault="0005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C2" w:rsidRDefault="009212C2" w:rsidP="006E6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12C2" w:rsidRDefault="009212C2" w:rsidP="00CD06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2C2" w:rsidRDefault="009212C2" w:rsidP="006E6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2086">
      <w:rPr>
        <w:rStyle w:val="PageNumber"/>
        <w:noProof/>
      </w:rPr>
      <w:t>4</w:t>
    </w:r>
    <w:r>
      <w:rPr>
        <w:rStyle w:val="PageNumber"/>
      </w:rPr>
      <w:fldChar w:fldCharType="end"/>
    </w:r>
  </w:p>
  <w:p w:rsidR="00593ACE" w:rsidRPr="00695609" w:rsidRDefault="000538AF" w:rsidP="00241E1E">
    <w:pPr>
      <w:pStyle w:val="Footer"/>
      <w:ind w:right="360"/>
    </w:pPr>
    <w:r>
      <w:t xml:space="preserve">CAUL </w:t>
    </w:r>
    <w:r w:rsidR="00E4440B">
      <w:t xml:space="preserve">Executive </w:t>
    </w:r>
    <w:r w:rsidR="0097072E">
      <w:t>Meeting 2018</w:t>
    </w:r>
    <w:r>
      <w:t>/</w:t>
    </w:r>
    <w:r w:rsidR="00E4440B">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9A" w:rsidRDefault="0005699A">
      <w:r>
        <w:separator/>
      </w:r>
    </w:p>
  </w:footnote>
  <w:footnote w:type="continuationSeparator" w:id="0">
    <w:p w:rsidR="0005699A" w:rsidRDefault="0005699A">
      <w:r>
        <w:continuationSeparator/>
      </w:r>
    </w:p>
  </w:footnote>
  <w:footnote w:id="1">
    <w:p w:rsidR="009C107B" w:rsidRDefault="009C107B" w:rsidP="009C107B">
      <w:pPr>
        <w:pStyle w:val="FootnoteText"/>
      </w:pPr>
      <w:r>
        <w:rPr>
          <w:rStyle w:val="FootnoteReference"/>
        </w:rPr>
        <w:footnoteRef/>
      </w:r>
      <w:r>
        <w:t xml:space="preserve"> </w:t>
      </w:r>
      <w:hyperlink r:id="rId1" w:history="1">
        <w:r w:rsidRPr="00A0545B">
          <w:rPr>
            <w:rStyle w:val="Hyperlink"/>
          </w:rPr>
          <w:t>https://www.caul.edu.au/sites/default/files/documents/caul-planning/caul-statements2018guidance.docx</w:t>
        </w:r>
      </w:hyperlink>
    </w:p>
  </w:footnote>
  <w:footnote w:id="2">
    <w:p w:rsidR="00B677AB" w:rsidRDefault="00B677AB">
      <w:pPr>
        <w:pStyle w:val="FootnoteText"/>
      </w:pPr>
      <w:r>
        <w:rPr>
          <w:rStyle w:val="FootnoteReference"/>
        </w:rPr>
        <w:footnoteRef/>
      </w:r>
      <w:r>
        <w:t xml:space="preserve"> </w:t>
      </w:r>
      <w:hyperlink r:id="rId2" w:history="1">
        <w:r w:rsidRPr="002D6579">
          <w:rPr>
            <w:rStyle w:val="Hyperlink"/>
          </w:rPr>
          <w:t>https://www.alia.org.au/node/426/laws</w:t>
        </w:r>
      </w:hyperlink>
    </w:p>
  </w:footnote>
  <w:footnote w:id="3">
    <w:p w:rsidR="00B677AB" w:rsidRDefault="00B677AB" w:rsidP="00B677AB">
      <w:pPr>
        <w:pStyle w:val="FootnoteText"/>
      </w:pPr>
      <w:r>
        <w:rPr>
          <w:rStyle w:val="FootnoteReference"/>
        </w:rPr>
        <w:footnoteRef/>
      </w:r>
      <w:r>
        <w:t xml:space="preserve"> </w:t>
      </w:r>
      <w:hyperlink r:id="rId3" w:history="1">
        <w:r w:rsidRPr="00A0545B">
          <w:rPr>
            <w:rStyle w:val="Hyperlink"/>
          </w:rPr>
          <w:t>https://www.acgr.edu.au/wp-content/uploads/2018/08/f39714_5746f0b1ac234e11956ace9c2e5e6fa5.pdf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097"/>
    <w:multiLevelType w:val="hybridMultilevel"/>
    <w:tmpl w:val="9580D254"/>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F4CEA"/>
    <w:multiLevelType w:val="hybridMultilevel"/>
    <w:tmpl w:val="F1CEF338"/>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2" w15:restartNumberingAfterBreak="0">
    <w:nsid w:val="01F36FAF"/>
    <w:multiLevelType w:val="hybridMultilevel"/>
    <w:tmpl w:val="C5D0671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62E4F5A"/>
    <w:multiLevelType w:val="hybridMultilevel"/>
    <w:tmpl w:val="FDEA8AA2"/>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E119A1"/>
    <w:multiLevelType w:val="hybridMultilevel"/>
    <w:tmpl w:val="F71A3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F2687"/>
    <w:multiLevelType w:val="hybridMultilevel"/>
    <w:tmpl w:val="8E86334C"/>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6" w15:restartNumberingAfterBreak="0">
    <w:nsid w:val="0D621C60"/>
    <w:multiLevelType w:val="hybridMultilevel"/>
    <w:tmpl w:val="9ACAA29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1">
      <w:start w:val="1"/>
      <w:numFmt w:val="decimal"/>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042B92"/>
    <w:multiLevelType w:val="hybridMultilevel"/>
    <w:tmpl w:val="976A4134"/>
    <w:lvl w:ilvl="0" w:tplc="4CA25956">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2C36A76"/>
    <w:multiLevelType w:val="hybridMultilevel"/>
    <w:tmpl w:val="0742C9C6"/>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9" w15:restartNumberingAfterBreak="0">
    <w:nsid w:val="12CC591A"/>
    <w:multiLevelType w:val="multilevel"/>
    <w:tmpl w:val="B15C99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9CD0661"/>
    <w:multiLevelType w:val="hybridMultilevel"/>
    <w:tmpl w:val="E50C93C2"/>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1" w15:restartNumberingAfterBreak="0">
    <w:nsid w:val="245100D3"/>
    <w:multiLevelType w:val="hybridMultilevel"/>
    <w:tmpl w:val="B83E9C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9448B8"/>
    <w:multiLevelType w:val="hybridMultilevel"/>
    <w:tmpl w:val="718EE6CC"/>
    <w:lvl w:ilvl="0" w:tplc="C3EAA3C2">
      <w:numFmt w:val="bullet"/>
      <w:lvlText w:val="•"/>
      <w:lvlJc w:val="left"/>
      <w:pPr>
        <w:ind w:left="1080" w:hanging="72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D36170"/>
    <w:multiLevelType w:val="hybridMultilevel"/>
    <w:tmpl w:val="25BA96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FB6E42F4">
      <w:numFmt w:val="bullet"/>
      <w:lvlText w:val="•"/>
      <w:lvlJc w:val="left"/>
      <w:pPr>
        <w:ind w:left="2385" w:hanging="765"/>
      </w:pPr>
      <w:rPr>
        <w:rFonts w:ascii="Tahoma" w:eastAsia="Times New Roman" w:hAnsi="Tahoma" w:cs="Tahoma"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B208FB"/>
    <w:multiLevelType w:val="hybridMultilevel"/>
    <w:tmpl w:val="2A44F780"/>
    <w:lvl w:ilvl="0" w:tplc="0C090013">
      <w:start w:val="1"/>
      <w:numFmt w:val="upperRoman"/>
      <w:lvlText w:val="%1."/>
      <w:lvlJc w:val="right"/>
      <w:pPr>
        <w:ind w:left="720" w:hanging="360"/>
      </w:pPr>
    </w:lvl>
    <w:lvl w:ilvl="1" w:tplc="0C09000F">
      <w:start w:val="1"/>
      <w:numFmt w:val="decimal"/>
      <w:lvlText w:val="%2."/>
      <w:lvlJc w:val="left"/>
      <w:pPr>
        <w:ind w:left="1440" w:hanging="360"/>
      </w:pPr>
    </w:lvl>
    <w:lvl w:ilvl="2" w:tplc="92065364">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000ECA"/>
    <w:multiLevelType w:val="hybridMultilevel"/>
    <w:tmpl w:val="B1080E1C"/>
    <w:lvl w:ilvl="0" w:tplc="C3EAA3C2">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D135B8"/>
    <w:multiLevelType w:val="hybridMultilevel"/>
    <w:tmpl w:val="417224F4"/>
    <w:lvl w:ilvl="0" w:tplc="0C09000F">
      <w:start w:val="1"/>
      <w:numFmt w:val="decimal"/>
      <w:lvlText w:val="%1."/>
      <w:lvlJc w:val="left"/>
      <w:pPr>
        <w:ind w:left="1033" w:hanging="360"/>
      </w:pPr>
      <w:rPr>
        <w:rFonts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7" w15:restartNumberingAfterBreak="0">
    <w:nsid w:val="39565A76"/>
    <w:multiLevelType w:val="hybridMultilevel"/>
    <w:tmpl w:val="30EAFC0E"/>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18" w15:restartNumberingAfterBreak="0">
    <w:nsid w:val="39D433E3"/>
    <w:multiLevelType w:val="multilevel"/>
    <w:tmpl w:val="B15C99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B880938"/>
    <w:multiLevelType w:val="hybridMultilevel"/>
    <w:tmpl w:val="A3D6B0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D82573C"/>
    <w:multiLevelType w:val="multilevel"/>
    <w:tmpl w:val="AD2A9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FE5EEA"/>
    <w:multiLevelType w:val="hybridMultilevel"/>
    <w:tmpl w:val="0E0A1980"/>
    <w:lvl w:ilvl="0" w:tplc="0C090001">
      <w:start w:val="1"/>
      <w:numFmt w:val="bullet"/>
      <w:lvlText w:val=""/>
      <w:lvlJc w:val="left"/>
      <w:pPr>
        <w:ind w:left="1033" w:hanging="360"/>
      </w:pPr>
      <w:rPr>
        <w:rFonts w:ascii="Symbol" w:hAnsi="Symbol" w:hint="default"/>
      </w:rPr>
    </w:lvl>
    <w:lvl w:ilvl="1" w:tplc="0C090003" w:tentative="1">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22" w15:restartNumberingAfterBreak="0">
    <w:nsid w:val="3F7A602A"/>
    <w:multiLevelType w:val="hybridMultilevel"/>
    <w:tmpl w:val="0BC62E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6A7C8E"/>
    <w:multiLevelType w:val="hybridMultilevel"/>
    <w:tmpl w:val="5A62C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734E83"/>
    <w:multiLevelType w:val="hybridMultilevel"/>
    <w:tmpl w:val="6FB28D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4D45210B"/>
    <w:multiLevelType w:val="hybridMultilevel"/>
    <w:tmpl w:val="AEEC3B4E"/>
    <w:lvl w:ilvl="0" w:tplc="0C09000F">
      <w:start w:val="1"/>
      <w:numFmt w:val="decimal"/>
      <w:lvlText w:val="%1."/>
      <w:lvlJc w:val="left"/>
      <w:pPr>
        <w:ind w:left="673" w:hanging="360"/>
      </w:pPr>
      <w:rPr>
        <w:rFonts w:hint="default"/>
      </w:rPr>
    </w:lvl>
    <w:lvl w:ilvl="1" w:tplc="0C090003" w:tentative="1">
      <w:start w:val="1"/>
      <w:numFmt w:val="bullet"/>
      <w:lvlText w:val="o"/>
      <w:lvlJc w:val="left"/>
      <w:pPr>
        <w:ind w:left="1393" w:hanging="360"/>
      </w:pPr>
      <w:rPr>
        <w:rFonts w:ascii="Courier New" w:hAnsi="Courier New" w:cs="Courier New" w:hint="default"/>
      </w:rPr>
    </w:lvl>
    <w:lvl w:ilvl="2" w:tplc="0C090005" w:tentative="1">
      <w:start w:val="1"/>
      <w:numFmt w:val="bullet"/>
      <w:lvlText w:val=""/>
      <w:lvlJc w:val="left"/>
      <w:pPr>
        <w:ind w:left="2113" w:hanging="360"/>
      </w:pPr>
      <w:rPr>
        <w:rFonts w:ascii="Wingdings" w:hAnsi="Wingdings" w:hint="default"/>
      </w:rPr>
    </w:lvl>
    <w:lvl w:ilvl="3" w:tplc="0C090001" w:tentative="1">
      <w:start w:val="1"/>
      <w:numFmt w:val="bullet"/>
      <w:lvlText w:val=""/>
      <w:lvlJc w:val="left"/>
      <w:pPr>
        <w:ind w:left="2833" w:hanging="360"/>
      </w:pPr>
      <w:rPr>
        <w:rFonts w:ascii="Symbol" w:hAnsi="Symbol" w:hint="default"/>
      </w:rPr>
    </w:lvl>
    <w:lvl w:ilvl="4" w:tplc="0C090003" w:tentative="1">
      <w:start w:val="1"/>
      <w:numFmt w:val="bullet"/>
      <w:lvlText w:val="o"/>
      <w:lvlJc w:val="left"/>
      <w:pPr>
        <w:ind w:left="3553" w:hanging="360"/>
      </w:pPr>
      <w:rPr>
        <w:rFonts w:ascii="Courier New" w:hAnsi="Courier New" w:cs="Courier New" w:hint="default"/>
      </w:rPr>
    </w:lvl>
    <w:lvl w:ilvl="5" w:tplc="0C090005" w:tentative="1">
      <w:start w:val="1"/>
      <w:numFmt w:val="bullet"/>
      <w:lvlText w:val=""/>
      <w:lvlJc w:val="left"/>
      <w:pPr>
        <w:ind w:left="4273" w:hanging="360"/>
      </w:pPr>
      <w:rPr>
        <w:rFonts w:ascii="Wingdings" w:hAnsi="Wingdings" w:hint="default"/>
      </w:rPr>
    </w:lvl>
    <w:lvl w:ilvl="6" w:tplc="0C090001" w:tentative="1">
      <w:start w:val="1"/>
      <w:numFmt w:val="bullet"/>
      <w:lvlText w:val=""/>
      <w:lvlJc w:val="left"/>
      <w:pPr>
        <w:ind w:left="4993" w:hanging="360"/>
      </w:pPr>
      <w:rPr>
        <w:rFonts w:ascii="Symbol" w:hAnsi="Symbol" w:hint="default"/>
      </w:rPr>
    </w:lvl>
    <w:lvl w:ilvl="7" w:tplc="0C090003" w:tentative="1">
      <w:start w:val="1"/>
      <w:numFmt w:val="bullet"/>
      <w:lvlText w:val="o"/>
      <w:lvlJc w:val="left"/>
      <w:pPr>
        <w:ind w:left="5713" w:hanging="360"/>
      </w:pPr>
      <w:rPr>
        <w:rFonts w:ascii="Courier New" w:hAnsi="Courier New" w:cs="Courier New" w:hint="default"/>
      </w:rPr>
    </w:lvl>
    <w:lvl w:ilvl="8" w:tplc="0C090005" w:tentative="1">
      <w:start w:val="1"/>
      <w:numFmt w:val="bullet"/>
      <w:lvlText w:val=""/>
      <w:lvlJc w:val="left"/>
      <w:pPr>
        <w:ind w:left="6433" w:hanging="360"/>
      </w:pPr>
      <w:rPr>
        <w:rFonts w:ascii="Wingdings" w:hAnsi="Wingdings" w:hint="default"/>
      </w:rPr>
    </w:lvl>
  </w:abstractNum>
  <w:abstractNum w:abstractNumId="26" w15:restartNumberingAfterBreak="0">
    <w:nsid w:val="4DF45EE0"/>
    <w:multiLevelType w:val="multilevel"/>
    <w:tmpl w:val="B15C99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EEB5835"/>
    <w:multiLevelType w:val="hybridMultilevel"/>
    <w:tmpl w:val="8780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095B68"/>
    <w:multiLevelType w:val="hybridMultilevel"/>
    <w:tmpl w:val="DBD4EC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8FD375D"/>
    <w:multiLevelType w:val="hybridMultilevel"/>
    <w:tmpl w:val="67C2FB54"/>
    <w:lvl w:ilvl="0" w:tplc="0C090001">
      <w:start w:val="1"/>
      <w:numFmt w:val="bullet"/>
      <w:lvlText w:val=""/>
      <w:lvlJc w:val="left"/>
      <w:pPr>
        <w:ind w:left="1033" w:hanging="360"/>
      </w:pPr>
      <w:rPr>
        <w:rFonts w:ascii="Symbol" w:hAnsi="Symbol" w:hint="default"/>
      </w:rPr>
    </w:lvl>
    <w:lvl w:ilvl="1" w:tplc="0C090003">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30" w15:restartNumberingAfterBreak="0">
    <w:nsid w:val="5AD84BF0"/>
    <w:multiLevelType w:val="hybridMultilevel"/>
    <w:tmpl w:val="E0C0A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4F03EB"/>
    <w:multiLevelType w:val="hybridMultilevel"/>
    <w:tmpl w:val="F5DA5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1462EB"/>
    <w:multiLevelType w:val="hybridMultilevel"/>
    <w:tmpl w:val="7ADE2EFC"/>
    <w:lvl w:ilvl="0" w:tplc="0C090001">
      <w:start w:val="1"/>
      <w:numFmt w:val="bullet"/>
      <w:lvlText w:val=""/>
      <w:lvlJc w:val="left"/>
      <w:pPr>
        <w:ind w:left="1033" w:hanging="360"/>
      </w:pPr>
      <w:rPr>
        <w:rFonts w:ascii="Symbol" w:hAnsi="Symbol" w:hint="default"/>
      </w:rPr>
    </w:lvl>
    <w:lvl w:ilvl="1" w:tplc="0C090003">
      <w:start w:val="1"/>
      <w:numFmt w:val="bullet"/>
      <w:lvlText w:val="o"/>
      <w:lvlJc w:val="left"/>
      <w:pPr>
        <w:ind w:left="1753" w:hanging="360"/>
      </w:pPr>
      <w:rPr>
        <w:rFonts w:ascii="Courier New" w:hAnsi="Courier New" w:cs="Courier New" w:hint="default"/>
      </w:rPr>
    </w:lvl>
    <w:lvl w:ilvl="2" w:tplc="0C090005" w:tentative="1">
      <w:start w:val="1"/>
      <w:numFmt w:val="bullet"/>
      <w:lvlText w:val=""/>
      <w:lvlJc w:val="left"/>
      <w:pPr>
        <w:ind w:left="2473" w:hanging="360"/>
      </w:pPr>
      <w:rPr>
        <w:rFonts w:ascii="Wingdings" w:hAnsi="Wingdings" w:hint="default"/>
      </w:rPr>
    </w:lvl>
    <w:lvl w:ilvl="3" w:tplc="0C090001" w:tentative="1">
      <w:start w:val="1"/>
      <w:numFmt w:val="bullet"/>
      <w:lvlText w:val=""/>
      <w:lvlJc w:val="left"/>
      <w:pPr>
        <w:ind w:left="3193" w:hanging="360"/>
      </w:pPr>
      <w:rPr>
        <w:rFonts w:ascii="Symbol" w:hAnsi="Symbol" w:hint="default"/>
      </w:rPr>
    </w:lvl>
    <w:lvl w:ilvl="4" w:tplc="0C090003" w:tentative="1">
      <w:start w:val="1"/>
      <w:numFmt w:val="bullet"/>
      <w:lvlText w:val="o"/>
      <w:lvlJc w:val="left"/>
      <w:pPr>
        <w:ind w:left="3913" w:hanging="360"/>
      </w:pPr>
      <w:rPr>
        <w:rFonts w:ascii="Courier New" w:hAnsi="Courier New" w:cs="Courier New" w:hint="default"/>
      </w:rPr>
    </w:lvl>
    <w:lvl w:ilvl="5" w:tplc="0C090005" w:tentative="1">
      <w:start w:val="1"/>
      <w:numFmt w:val="bullet"/>
      <w:lvlText w:val=""/>
      <w:lvlJc w:val="left"/>
      <w:pPr>
        <w:ind w:left="4633" w:hanging="360"/>
      </w:pPr>
      <w:rPr>
        <w:rFonts w:ascii="Wingdings" w:hAnsi="Wingdings" w:hint="default"/>
      </w:rPr>
    </w:lvl>
    <w:lvl w:ilvl="6" w:tplc="0C090001" w:tentative="1">
      <w:start w:val="1"/>
      <w:numFmt w:val="bullet"/>
      <w:lvlText w:val=""/>
      <w:lvlJc w:val="left"/>
      <w:pPr>
        <w:ind w:left="5353" w:hanging="360"/>
      </w:pPr>
      <w:rPr>
        <w:rFonts w:ascii="Symbol" w:hAnsi="Symbol" w:hint="default"/>
      </w:rPr>
    </w:lvl>
    <w:lvl w:ilvl="7" w:tplc="0C090003" w:tentative="1">
      <w:start w:val="1"/>
      <w:numFmt w:val="bullet"/>
      <w:lvlText w:val="o"/>
      <w:lvlJc w:val="left"/>
      <w:pPr>
        <w:ind w:left="6073" w:hanging="360"/>
      </w:pPr>
      <w:rPr>
        <w:rFonts w:ascii="Courier New" w:hAnsi="Courier New" w:cs="Courier New" w:hint="default"/>
      </w:rPr>
    </w:lvl>
    <w:lvl w:ilvl="8" w:tplc="0C090005" w:tentative="1">
      <w:start w:val="1"/>
      <w:numFmt w:val="bullet"/>
      <w:lvlText w:val=""/>
      <w:lvlJc w:val="left"/>
      <w:pPr>
        <w:ind w:left="6793" w:hanging="360"/>
      </w:pPr>
      <w:rPr>
        <w:rFonts w:ascii="Wingdings" w:hAnsi="Wingdings" w:hint="default"/>
      </w:rPr>
    </w:lvl>
  </w:abstractNum>
  <w:abstractNum w:abstractNumId="33" w15:restartNumberingAfterBreak="0">
    <w:nsid w:val="690646F2"/>
    <w:multiLevelType w:val="hybridMultilevel"/>
    <w:tmpl w:val="D4B4B648"/>
    <w:lvl w:ilvl="0" w:tplc="0C090001">
      <w:start w:val="1"/>
      <w:numFmt w:val="bullet"/>
      <w:lvlText w:val=""/>
      <w:lvlJc w:val="left"/>
      <w:pPr>
        <w:ind w:left="1095" w:hanging="360"/>
      </w:pPr>
      <w:rPr>
        <w:rFonts w:ascii="Symbol" w:hAnsi="Symbol" w:hint="default"/>
      </w:rPr>
    </w:lvl>
    <w:lvl w:ilvl="1" w:tplc="0C090003" w:tentative="1">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tentative="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34" w15:restartNumberingAfterBreak="0">
    <w:nsid w:val="69EF4144"/>
    <w:multiLevelType w:val="hybridMultilevel"/>
    <w:tmpl w:val="2BCA6D1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C473483"/>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6D703737"/>
    <w:multiLevelType w:val="hybridMultilevel"/>
    <w:tmpl w:val="45F42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A8643D"/>
    <w:multiLevelType w:val="hybridMultilevel"/>
    <w:tmpl w:val="54EC370E"/>
    <w:lvl w:ilvl="0" w:tplc="61BA70F8">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9F33AF6"/>
    <w:multiLevelType w:val="hybridMultilevel"/>
    <w:tmpl w:val="666CB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1B01C8"/>
    <w:multiLevelType w:val="hybridMultilevel"/>
    <w:tmpl w:val="29B80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2"/>
  </w:num>
  <w:num w:numId="4">
    <w:abstractNumId w:val="0"/>
  </w:num>
  <w:num w:numId="5">
    <w:abstractNumId w:val="31"/>
  </w:num>
  <w:num w:numId="6">
    <w:abstractNumId w:val="3"/>
  </w:num>
  <w:num w:numId="7">
    <w:abstractNumId w:val="8"/>
  </w:num>
  <w:num w:numId="8">
    <w:abstractNumId w:val="25"/>
  </w:num>
  <w:num w:numId="9">
    <w:abstractNumId w:val="29"/>
  </w:num>
  <w:num w:numId="10">
    <w:abstractNumId w:val="6"/>
  </w:num>
  <w:num w:numId="11">
    <w:abstractNumId w:val="17"/>
  </w:num>
  <w:num w:numId="12">
    <w:abstractNumId w:val="35"/>
  </w:num>
  <w:num w:numId="13">
    <w:abstractNumId w:val="1"/>
  </w:num>
  <w:num w:numId="14">
    <w:abstractNumId w:val="10"/>
  </w:num>
  <w:num w:numId="15">
    <w:abstractNumId w:val="16"/>
  </w:num>
  <w:num w:numId="16">
    <w:abstractNumId w:val="21"/>
  </w:num>
  <w:num w:numId="17">
    <w:abstractNumId w:val="33"/>
  </w:num>
  <w:num w:numId="18">
    <w:abstractNumId w:val="5"/>
  </w:num>
  <w:num w:numId="19">
    <w:abstractNumId w:val="19"/>
  </w:num>
  <w:num w:numId="20">
    <w:abstractNumId w:val="36"/>
  </w:num>
  <w:num w:numId="21">
    <w:abstractNumId w:val="15"/>
  </w:num>
  <w:num w:numId="22">
    <w:abstractNumId w:val="12"/>
  </w:num>
  <w:num w:numId="23">
    <w:abstractNumId w:val="27"/>
  </w:num>
  <w:num w:numId="24">
    <w:abstractNumId w:val="4"/>
  </w:num>
  <w:num w:numId="25">
    <w:abstractNumId w:val="23"/>
  </w:num>
  <w:num w:numId="26">
    <w:abstractNumId w:val="22"/>
  </w:num>
  <w:num w:numId="27">
    <w:abstractNumId w:val="30"/>
  </w:num>
  <w:num w:numId="28">
    <w:abstractNumId w:val="39"/>
  </w:num>
  <w:num w:numId="29">
    <w:abstractNumId w:val="20"/>
  </w:num>
  <w:num w:numId="30">
    <w:abstractNumId w:val="7"/>
  </w:num>
  <w:num w:numId="31">
    <w:abstractNumId w:val="38"/>
  </w:num>
  <w:num w:numId="32">
    <w:abstractNumId w:val="24"/>
  </w:num>
  <w:num w:numId="33">
    <w:abstractNumId w:val="11"/>
  </w:num>
  <w:num w:numId="34">
    <w:abstractNumId w:val="37"/>
  </w:num>
  <w:num w:numId="35">
    <w:abstractNumId w:val="2"/>
  </w:num>
  <w:num w:numId="36">
    <w:abstractNumId w:val="18"/>
  </w:num>
  <w:num w:numId="37">
    <w:abstractNumId w:val="9"/>
  </w:num>
  <w:num w:numId="38">
    <w:abstractNumId w:val="26"/>
  </w:num>
  <w:num w:numId="39">
    <w:abstractNumId w:val="34"/>
  </w:num>
  <w:num w:numId="4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6A"/>
    <w:rsid w:val="0000685F"/>
    <w:rsid w:val="000120A1"/>
    <w:rsid w:val="00012467"/>
    <w:rsid w:val="00022983"/>
    <w:rsid w:val="00026E7B"/>
    <w:rsid w:val="000461B4"/>
    <w:rsid w:val="0005322D"/>
    <w:rsid w:val="000538AF"/>
    <w:rsid w:val="0005699A"/>
    <w:rsid w:val="00061FA3"/>
    <w:rsid w:val="00062F40"/>
    <w:rsid w:val="00063D09"/>
    <w:rsid w:val="00065691"/>
    <w:rsid w:val="00096751"/>
    <w:rsid w:val="000A4F93"/>
    <w:rsid w:val="000A78C9"/>
    <w:rsid w:val="000C3E13"/>
    <w:rsid w:val="000D43E0"/>
    <w:rsid w:val="000D571B"/>
    <w:rsid w:val="000D7C3B"/>
    <w:rsid w:val="000E1552"/>
    <w:rsid w:val="000E3200"/>
    <w:rsid w:val="00100143"/>
    <w:rsid w:val="001005A4"/>
    <w:rsid w:val="001061F5"/>
    <w:rsid w:val="00111495"/>
    <w:rsid w:val="00114BE2"/>
    <w:rsid w:val="0011744B"/>
    <w:rsid w:val="00124665"/>
    <w:rsid w:val="0013270D"/>
    <w:rsid w:val="00133B5B"/>
    <w:rsid w:val="00136E86"/>
    <w:rsid w:val="00141654"/>
    <w:rsid w:val="00142F9A"/>
    <w:rsid w:val="00152B48"/>
    <w:rsid w:val="00153710"/>
    <w:rsid w:val="00154800"/>
    <w:rsid w:val="00156A9C"/>
    <w:rsid w:val="001644DF"/>
    <w:rsid w:val="0016612E"/>
    <w:rsid w:val="00167E04"/>
    <w:rsid w:val="00171DC0"/>
    <w:rsid w:val="001757D2"/>
    <w:rsid w:val="00176507"/>
    <w:rsid w:val="00177841"/>
    <w:rsid w:val="001834C7"/>
    <w:rsid w:val="00184581"/>
    <w:rsid w:val="00195DE6"/>
    <w:rsid w:val="001A3D55"/>
    <w:rsid w:val="001A7E7B"/>
    <w:rsid w:val="001B2AF1"/>
    <w:rsid w:val="001C7FEF"/>
    <w:rsid w:val="001D34FC"/>
    <w:rsid w:val="001E52F1"/>
    <w:rsid w:val="001F49E5"/>
    <w:rsid w:val="001F7232"/>
    <w:rsid w:val="001F76AC"/>
    <w:rsid w:val="002015A8"/>
    <w:rsid w:val="002039BF"/>
    <w:rsid w:val="00206E9D"/>
    <w:rsid w:val="0020707F"/>
    <w:rsid w:val="00216E01"/>
    <w:rsid w:val="00217124"/>
    <w:rsid w:val="00222EEA"/>
    <w:rsid w:val="00223E24"/>
    <w:rsid w:val="00237B22"/>
    <w:rsid w:val="00241E1E"/>
    <w:rsid w:val="00242F41"/>
    <w:rsid w:val="00245609"/>
    <w:rsid w:val="00262255"/>
    <w:rsid w:val="00266A6A"/>
    <w:rsid w:val="002863E5"/>
    <w:rsid w:val="00291824"/>
    <w:rsid w:val="00291AC8"/>
    <w:rsid w:val="00294CF3"/>
    <w:rsid w:val="002A22DB"/>
    <w:rsid w:val="002A4E0F"/>
    <w:rsid w:val="002B4936"/>
    <w:rsid w:val="002C0D54"/>
    <w:rsid w:val="002C5C35"/>
    <w:rsid w:val="002D3E70"/>
    <w:rsid w:val="002D48A6"/>
    <w:rsid w:val="002D6217"/>
    <w:rsid w:val="002E0E78"/>
    <w:rsid w:val="002E2678"/>
    <w:rsid w:val="002E5032"/>
    <w:rsid w:val="002E682A"/>
    <w:rsid w:val="00303DAF"/>
    <w:rsid w:val="00315469"/>
    <w:rsid w:val="003163FF"/>
    <w:rsid w:val="00323A3F"/>
    <w:rsid w:val="003253E6"/>
    <w:rsid w:val="00327ADF"/>
    <w:rsid w:val="00331696"/>
    <w:rsid w:val="00332E69"/>
    <w:rsid w:val="0033758B"/>
    <w:rsid w:val="003439B4"/>
    <w:rsid w:val="00343EDA"/>
    <w:rsid w:val="00351DAE"/>
    <w:rsid w:val="00351E31"/>
    <w:rsid w:val="00356CC6"/>
    <w:rsid w:val="0036392C"/>
    <w:rsid w:val="00365653"/>
    <w:rsid w:val="00375AA0"/>
    <w:rsid w:val="00376365"/>
    <w:rsid w:val="00383EF8"/>
    <w:rsid w:val="003859A7"/>
    <w:rsid w:val="00385A8C"/>
    <w:rsid w:val="00391B50"/>
    <w:rsid w:val="0039253A"/>
    <w:rsid w:val="00392A84"/>
    <w:rsid w:val="003A7569"/>
    <w:rsid w:val="003B0305"/>
    <w:rsid w:val="003B2C35"/>
    <w:rsid w:val="003C57A9"/>
    <w:rsid w:val="003C77D0"/>
    <w:rsid w:val="003C7B42"/>
    <w:rsid w:val="003D7A01"/>
    <w:rsid w:val="003D7A1E"/>
    <w:rsid w:val="003D7D21"/>
    <w:rsid w:val="003E1525"/>
    <w:rsid w:val="003E5AD4"/>
    <w:rsid w:val="003E7455"/>
    <w:rsid w:val="003F2223"/>
    <w:rsid w:val="003F4995"/>
    <w:rsid w:val="00414320"/>
    <w:rsid w:val="004151B9"/>
    <w:rsid w:val="004206DA"/>
    <w:rsid w:val="00426D14"/>
    <w:rsid w:val="00434F95"/>
    <w:rsid w:val="0043734F"/>
    <w:rsid w:val="00442FE1"/>
    <w:rsid w:val="0045391B"/>
    <w:rsid w:val="00456219"/>
    <w:rsid w:val="00465ECF"/>
    <w:rsid w:val="00471514"/>
    <w:rsid w:val="0047171B"/>
    <w:rsid w:val="004722DE"/>
    <w:rsid w:val="004741B9"/>
    <w:rsid w:val="0047498F"/>
    <w:rsid w:val="004753F1"/>
    <w:rsid w:val="0048121A"/>
    <w:rsid w:val="004817C4"/>
    <w:rsid w:val="00481D93"/>
    <w:rsid w:val="00484003"/>
    <w:rsid w:val="00484677"/>
    <w:rsid w:val="0048648E"/>
    <w:rsid w:val="004877A9"/>
    <w:rsid w:val="00493B27"/>
    <w:rsid w:val="004A1215"/>
    <w:rsid w:val="004A1531"/>
    <w:rsid w:val="004B25C5"/>
    <w:rsid w:val="004F23B5"/>
    <w:rsid w:val="005028E7"/>
    <w:rsid w:val="00506EA0"/>
    <w:rsid w:val="005124ED"/>
    <w:rsid w:val="00514310"/>
    <w:rsid w:val="00515E22"/>
    <w:rsid w:val="00521846"/>
    <w:rsid w:val="00535868"/>
    <w:rsid w:val="00551233"/>
    <w:rsid w:val="0055700A"/>
    <w:rsid w:val="00584EA7"/>
    <w:rsid w:val="00586245"/>
    <w:rsid w:val="005930F4"/>
    <w:rsid w:val="00593ACE"/>
    <w:rsid w:val="005A0F61"/>
    <w:rsid w:val="005B0253"/>
    <w:rsid w:val="005C123B"/>
    <w:rsid w:val="005C153A"/>
    <w:rsid w:val="005D48CA"/>
    <w:rsid w:val="006061EC"/>
    <w:rsid w:val="006125EF"/>
    <w:rsid w:val="00613EB5"/>
    <w:rsid w:val="00615D17"/>
    <w:rsid w:val="00635278"/>
    <w:rsid w:val="00647DAD"/>
    <w:rsid w:val="006615CF"/>
    <w:rsid w:val="00662538"/>
    <w:rsid w:val="00663C33"/>
    <w:rsid w:val="006663B7"/>
    <w:rsid w:val="0067290D"/>
    <w:rsid w:val="0067768E"/>
    <w:rsid w:val="006812F9"/>
    <w:rsid w:val="00695609"/>
    <w:rsid w:val="00696A78"/>
    <w:rsid w:val="006D3B8E"/>
    <w:rsid w:val="006E5F97"/>
    <w:rsid w:val="006E6FCF"/>
    <w:rsid w:val="00701987"/>
    <w:rsid w:val="00704781"/>
    <w:rsid w:val="0071463C"/>
    <w:rsid w:val="007235C4"/>
    <w:rsid w:val="007251F7"/>
    <w:rsid w:val="007268D0"/>
    <w:rsid w:val="00732B7C"/>
    <w:rsid w:val="007351B0"/>
    <w:rsid w:val="00747B48"/>
    <w:rsid w:val="00761D26"/>
    <w:rsid w:val="00763B9F"/>
    <w:rsid w:val="00774852"/>
    <w:rsid w:val="00791425"/>
    <w:rsid w:val="00792BD4"/>
    <w:rsid w:val="0079637D"/>
    <w:rsid w:val="00797F97"/>
    <w:rsid w:val="007A1751"/>
    <w:rsid w:val="007A209A"/>
    <w:rsid w:val="007A24E7"/>
    <w:rsid w:val="007B2275"/>
    <w:rsid w:val="007C4801"/>
    <w:rsid w:val="007D55D5"/>
    <w:rsid w:val="007F635A"/>
    <w:rsid w:val="00802CB6"/>
    <w:rsid w:val="00804ADD"/>
    <w:rsid w:val="00805DFA"/>
    <w:rsid w:val="0081335C"/>
    <w:rsid w:val="008142AB"/>
    <w:rsid w:val="0081443E"/>
    <w:rsid w:val="00814BB2"/>
    <w:rsid w:val="008175FA"/>
    <w:rsid w:val="008177E4"/>
    <w:rsid w:val="00823D08"/>
    <w:rsid w:val="00827595"/>
    <w:rsid w:val="00827895"/>
    <w:rsid w:val="00834B2F"/>
    <w:rsid w:val="008529A0"/>
    <w:rsid w:val="008552F2"/>
    <w:rsid w:val="00856356"/>
    <w:rsid w:val="00861CCA"/>
    <w:rsid w:val="00861D8D"/>
    <w:rsid w:val="00875896"/>
    <w:rsid w:val="00877AE3"/>
    <w:rsid w:val="00882C3C"/>
    <w:rsid w:val="0088520B"/>
    <w:rsid w:val="00887ACA"/>
    <w:rsid w:val="008A16D7"/>
    <w:rsid w:val="008A3D83"/>
    <w:rsid w:val="008B2CD8"/>
    <w:rsid w:val="008B4899"/>
    <w:rsid w:val="008C0080"/>
    <w:rsid w:val="008C1B9E"/>
    <w:rsid w:val="008C557C"/>
    <w:rsid w:val="008C55C9"/>
    <w:rsid w:val="008D1276"/>
    <w:rsid w:val="008D4B5F"/>
    <w:rsid w:val="008D5B02"/>
    <w:rsid w:val="008D7C0B"/>
    <w:rsid w:val="008E3D5D"/>
    <w:rsid w:val="008E646D"/>
    <w:rsid w:val="008F7D91"/>
    <w:rsid w:val="0090000A"/>
    <w:rsid w:val="00904472"/>
    <w:rsid w:val="0090610C"/>
    <w:rsid w:val="009116DB"/>
    <w:rsid w:val="009212C2"/>
    <w:rsid w:val="00921DFA"/>
    <w:rsid w:val="009225F9"/>
    <w:rsid w:val="00925194"/>
    <w:rsid w:val="00926A56"/>
    <w:rsid w:val="00930C2F"/>
    <w:rsid w:val="00934399"/>
    <w:rsid w:val="009349FB"/>
    <w:rsid w:val="00936377"/>
    <w:rsid w:val="00936A9D"/>
    <w:rsid w:val="00940643"/>
    <w:rsid w:val="00961E0A"/>
    <w:rsid w:val="0097072E"/>
    <w:rsid w:val="0097518C"/>
    <w:rsid w:val="009806D7"/>
    <w:rsid w:val="00982799"/>
    <w:rsid w:val="00983E9D"/>
    <w:rsid w:val="0098616A"/>
    <w:rsid w:val="009B7A0A"/>
    <w:rsid w:val="009C107B"/>
    <w:rsid w:val="009D0BE4"/>
    <w:rsid w:val="009D11C8"/>
    <w:rsid w:val="009E0846"/>
    <w:rsid w:val="009E3197"/>
    <w:rsid w:val="009F741B"/>
    <w:rsid w:val="00A05CDB"/>
    <w:rsid w:val="00A2365E"/>
    <w:rsid w:val="00A251DA"/>
    <w:rsid w:val="00A27147"/>
    <w:rsid w:val="00A271D2"/>
    <w:rsid w:val="00A370C9"/>
    <w:rsid w:val="00A3762D"/>
    <w:rsid w:val="00A42601"/>
    <w:rsid w:val="00A53E63"/>
    <w:rsid w:val="00A552AE"/>
    <w:rsid w:val="00A57CAA"/>
    <w:rsid w:val="00A70316"/>
    <w:rsid w:val="00A74D2D"/>
    <w:rsid w:val="00A7715E"/>
    <w:rsid w:val="00A80188"/>
    <w:rsid w:val="00A85527"/>
    <w:rsid w:val="00AA3431"/>
    <w:rsid w:val="00AA4147"/>
    <w:rsid w:val="00AB7E4A"/>
    <w:rsid w:val="00AC130E"/>
    <w:rsid w:val="00AC361E"/>
    <w:rsid w:val="00AE3B04"/>
    <w:rsid w:val="00AE6977"/>
    <w:rsid w:val="00AF5E9E"/>
    <w:rsid w:val="00B00B05"/>
    <w:rsid w:val="00B02A7F"/>
    <w:rsid w:val="00B13247"/>
    <w:rsid w:val="00B13F6D"/>
    <w:rsid w:val="00B27CB3"/>
    <w:rsid w:val="00B33E71"/>
    <w:rsid w:val="00B4184E"/>
    <w:rsid w:val="00B431FE"/>
    <w:rsid w:val="00B44BB1"/>
    <w:rsid w:val="00B45EB4"/>
    <w:rsid w:val="00B56221"/>
    <w:rsid w:val="00B57C91"/>
    <w:rsid w:val="00B66174"/>
    <w:rsid w:val="00B66255"/>
    <w:rsid w:val="00B677AB"/>
    <w:rsid w:val="00B758D3"/>
    <w:rsid w:val="00B828C6"/>
    <w:rsid w:val="00B9355E"/>
    <w:rsid w:val="00B9501F"/>
    <w:rsid w:val="00B95DC1"/>
    <w:rsid w:val="00BB677A"/>
    <w:rsid w:val="00BC2C5C"/>
    <w:rsid w:val="00BD3DC3"/>
    <w:rsid w:val="00BE0870"/>
    <w:rsid w:val="00BE48D0"/>
    <w:rsid w:val="00C02666"/>
    <w:rsid w:val="00C30C0A"/>
    <w:rsid w:val="00C327F3"/>
    <w:rsid w:val="00C32CD1"/>
    <w:rsid w:val="00C34070"/>
    <w:rsid w:val="00C40AC4"/>
    <w:rsid w:val="00C61E01"/>
    <w:rsid w:val="00C6676C"/>
    <w:rsid w:val="00C7151B"/>
    <w:rsid w:val="00C74FE3"/>
    <w:rsid w:val="00C768FF"/>
    <w:rsid w:val="00C77E80"/>
    <w:rsid w:val="00CA04C7"/>
    <w:rsid w:val="00CA4E9B"/>
    <w:rsid w:val="00CA6D5D"/>
    <w:rsid w:val="00CA7B10"/>
    <w:rsid w:val="00CA7CAB"/>
    <w:rsid w:val="00CC1FB7"/>
    <w:rsid w:val="00CC4AA8"/>
    <w:rsid w:val="00CC5642"/>
    <w:rsid w:val="00CD061A"/>
    <w:rsid w:val="00CD225A"/>
    <w:rsid w:val="00CD7549"/>
    <w:rsid w:val="00CE1262"/>
    <w:rsid w:val="00CE41F9"/>
    <w:rsid w:val="00CE6129"/>
    <w:rsid w:val="00CF3C07"/>
    <w:rsid w:val="00CF4BD1"/>
    <w:rsid w:val="00D01611"/>
    <w:rsid w:val="00D066BF"/>
    <w:rsid w:val="00D137E4"/>
    <w:rsid w:val="00D17678"/>
    <w:rsid w:val="00D40AFA"/>
    <w:rsid w:val="00D410C8"/>
    <w:rsid w:val="00D459E2"/>
    <w:rsid w:val="00D52416"/>
    <w:rsid w:val="00D54268"/>
    <w:rsid w:val="00D57F17"/>
    <w:rsid w:val="00D61075"/>
    <w:rsid w:val="00D62220"/>
    <w:rsid w:val="00D62619"/>
    <w:rsid w:val="00D674DC"/>
    <w:rsid w:val="00D67C92"/>
    <w:rsid w:val="00D76501"/>
    <w:rsid w:val="00D77800"/>
    <w:rsid w:val="00D8518A"/>
    <w:rsid w:val="00D86087"/>
    <w:rsid w:val="00D90CFE"/>
    <w:rsid w:val="00D95CE7"/>
    <w:rsid w:val="00DA1C23"/>
    <w:rsid w:val="00DA2B9B"/>
    <w:rsid w:val="00DA5E28"/>
    <w:rsid w:val="00DA6AB8"/>
    <w:rsid w:val="00DA7893"/>
    <w:rsid w:val="00DB156E"/>
    <w:rsid w:val="00DB4C89"/>
    <w:rsid w:val="00DB534C"/>
    <w:rsid w:val="00DB7C12"/>
    <w:rsid w:val="00DC3BEF"/>
    <w:rsid w:val="00DE426C"/>
    <w:rsid w:val="00DE5B4C"/>
    <w:rsid w:val="00DF7A9D"/>
    <w:rsid w:val="00E42086"/>
    <w:rsid w:val="00E4440B"/>
    <w:rsid w:val="00E446FD"/>
    <w:rsid w:val="00E60E36"/>
    <w:rsid w:val="00E61C8A"/>
    <w:rsid w:val="00E6531C"/>
    <w:rsid w:val="00E71FBA"/>
    <w:rsid w:val="00E829F8"/>
    <w:rsid w:val="00E92D24"/>
    <w:rsid w:val="00E96051"/>
    <w:rsid w:val="00EB7785"/>
    <w:rsid w:val="00EC2205"/>
    <w:rsid w:val="00EC25AA"/>
    <w:rsid w:val="00EC322D"/>
    <w:rsid w:val="00EE0674"/>
    <w:rsid w:val="00EE1CF8"/>
    <w:rsid w:val="00EE408E"/>
    <w:rsid w:val="00EE65BD"/>
    <w:rsid w:val="00F070F7"/>
    <w:rsid w:val="00F11FD4"/>
    <w:rsid w:val="00F174BF"/>
    <w:rsid w:val="00F21181"/>
    <w:rsid w:val="00F34D76"/>
    <w:rsid w:val="00F4098D"/>
    <w:rsid w:val="00F43758"/>
    <w:rsid w:val="00F4477B"/>
    <w:rsid w:val="00F50940"/>
    <w:rsid w:val="00F5149D"/>
    <w:rsid w:val="00F5736A"/>
    <w:rsid w:val="00F60641"/>
    <w:rsid w:val="00F6377E"/>
    <w:rsid w:val="00F641B7"/>
    <w:rsid w:val="00F65D9B"/>
    <w:rsid w:val="00F81E1C"/>
    <w:rsid w:val="00F9573C"/>
    <w:rsid w:val="00FA133F"/>
    <w:rsid w:val="00FA30DA"/>
    <w:rsid w:val="00FA43C4"/>
    <w:rsid w:val="00FA7B34"/>
    <w:rsid w:val="00FA7E20"/>
    <w:rsid w:val="00FB279A"/>
    <w:rsid w:val="00FB2C56"/>
    <w:rsid w:val="00FB464A"/>
    <w:rsid w:val="00FB5587"/>
    <w:rsid w:val="00FB7422"/>
    <w:rsid w:val="00FC24E9"/>
    <w:rsid w:val="00FD002D"/>
    <w:rsid w:val="00FD2A0B"/>
    <w:rsid w:val="00FD38AE"/>
    <w:rsid w:val="00FD6E2D"/>
    <w:rsid w:val="00FE27B6"/>
    <w:rsid w:val="00FF34F3"/>
    <w:rsid w:val="00FF4259"/>
    <w:rsid w:val="00FF6AE4"/>
    <w:rsid w:val="00FF7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FAB06-FA59-4EC9-951D-08E51F5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305"/>
    <w:pPr>
      <w:spacing w:before="120"/>
      <w:ind w:left="720"/>
    </w:pPr>
    <w:rPr>
      <w:rFonts w:ascii="Tahoma" w:hAnsi="Tahoma"/>
      <w:lang w:eastAsia="en-US"/>
    </w:rPr>
  </w:style>
  <w:style w:type="paragraph" w:styleId="Heading1">
    <w:name w:val="heading 1"/>
    <w:basedOn w:val="Normal"/>
    <w:next w:val="Normal"/>
    <w:link w:val="Heading1Char"/>
    <w:qFormat/>
    <w:rsid w:val="003B0305"/>
    <w:pPr>
      <w:spacing w:after="120"/>
      <w:outlineLvl w:val="0"/>
    </w:pPr>
    <w:rPr>
      <w:rFonts w:ascii="Arial" w:hAnsi="Arial" w:cs="Arial"/>
      <w:b/>
      <w:sz w:val="24"/>
      <w:szCs w:val="24"/>
      <w:lang w:eastAsia="zh-CN"/>
    </w:rPr>
  </w:style>
  <w:style w:type="paragraph" w:styleId="Heading2">
    <w:name w:val="heading 2"/>
    <w:basedOn w:val="Normal"/>
    <w:next w:val="Normal"/>
    <w:link w:val="Heading2Char"/>
    <w:unhideWhenUsed/>
    <w:qFormat/>
    <w:rsid w:val="003B0305"/>
    <w:pPr>
      <w:keepNext/>
      <w:keepLines/>
      <w:spacing w:after="120"/>
      <w:outlineLvl w:val="1"/>
    </w:pPr>
    <w:rPr>
      <w:rFonts w:ascii="Arial" w:eastAsiaTheme="majorEastAsia" w:hAnsi="Arial" w:cstheme="majorBidi"/>
      <w:b/>
      <w:szCs w:val="26"/>
    </w:rPr>
  </w:style>
  <w:style w:type="paragraph" w:styleId="Heading3">
    <w:name w:val="heading 3"/>
    <w:basedOn w:val="Normal"/>
    <w:next w:val="Normal"/>
    <w:link w:val="Heading3Char"/>
    <w:semiHidden/>
    <w:unhideWhenUsed/>
    <w:qFormat/>
    <w:rsid w:val="00861CCA"/>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6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66A6A"/>
    <w:rPr>
      <w:rFonts w:cs="Tahoma"/>
      <w:sz w:val="16"/>
      <w:szCs w:val="16"/>
    </w:rPr>
  </w:style>
  <w:style w:type="paragraph" w:styleId="Footer">
    <w:name w:val="footer"/>
    <w:basedOn w:val="Normal"/>
    <w:rsid w:val="003859A7"/>
    <w:pPr>
      <w:tabs>
        <w:tab w:val="center" w:pos="4153"/>
        <w:tab w:val="right" w:pos="8306"/>
      </w:tabs>
    </w:pPr>
    <w:rPr>
      <w:rFonts w:ascii="Arial" w:hAnsi="Arial" w:cs="Arial"/>
      <w:sz w:val="18"/>
      <w:szCs w:val="22"/>
      <w:lang w:eastAsia="zh-CN"/>
    </w:rPr>
  </w:style>
  <w:style w:type="character" w:customStyle="1" w:styleId="Heading1Char">
    <w:name w:val="Heading 1 Char"/>
    <w:link w:val="Heading1"/>
    <w:rsid w:val="003B0305"/>
    <w:rPr>
      <w:rFonts w:ascii="Arial" w:hAnsi="Arial" w:cs="Arial"/>
      <w:b/>
      <w:sz w:val="24"/>
      <w:szCs w:val="24"/>
      <w:lang w:eastAsia="zh-CN"/>
    </w:rPr>
  </w:style>
  <w:style w:type="character" w:styleId="FootnoteReference">
    <w:name w:val="footnote reference"/>
    <w:uiPriority w:val="99"/>
    <w:semiHidden/>
    <w:rsid w:val="003859A7"/>
    <w:rPr>
      <w:vertAlign w:val="superscript"/>
    </w:rPr>
  </w:style>
  <w:style w:type="paragraph" w:styleId="Header">
    <w:name w:val="header"/>
    <w:basedOn w:val="Normal"/>
    <w:rsid w:val="003859A7"/>
    <w:pPr>
      <w:tabs>
        <w:tab w:val="center" w:pos="4320"/>
        <w:tab w:val="right" w:pos="8640"/>
      </w:tabs>
    </w:pPr>
  </w:style>
  <w:style w:type="character" w:styleId="PageNumber">
    <w:name w:val="page number"/>
    <w:basedOn w:val="DefaultParagraphFont"/>
    <w:rsid w:val="00CD061A"/>
  </w:style>
  <w:style w:type="character" w:styleId="Hyperlink">
    <w:name w:val="Hyperlink"/>
    <w:uiPriority w:val="99"/>
    <w:rsid w:val="003B2C35"/>
    <w:rPr>
      <w:color w:val="0000FF"/>
      <w:u w:val="single"/>
    </w:rPr>
  </w:style>
  <w:style w:type="paragraph" w:styleId="ListParagraph">
    <w:name w:val="List Paragraph"/>
    <w:basedOn w:val="Normal"/>
    <w:link w:val="ListParagraphChar"/>
    <w:uiPriority w:val="34"/>
    <w:qFormat/>
    <w:rsid w:val="00383EF8"/>
    <w:pPr>
      <w:spacing w:after="160" w:line="259" w:lineRule="auto"/>
      <w:contextualSpacing/>
    </w:pPr>
    <w:rPr>
      <w:rFonts w:eastAsia="Cambria"/>
      <w:szCs w:val="22"/>
    </w:rPr>
  </w:style>
  <w:style w:type="character" w:customStyle="1" w:styleId="Heading2Char">
    <w:name w:val="Heading 2 Char"/>
    <w:basedOn w:val="DefaultParagraphFont"/>
    <w:link w:val="Heading2"/>
    <w:rsid w:val="003B0305"/>
    <w:rPr>
      <w:rFonts w:ascii="Arial" w:eastAsiaTheme="majorEastAsia" w:hAnsi="Arial" w:cstheme="majorBidi"/>
      <w:b/>
      <w:szCs w:val="26"/>
      <w:lang w:eastAsia="en-US"/>
    </w:rPr>
  </w:style>
  <w:style w:type="character" w:customStyle="1" w:styleId="Heading3Char">
    <w:name w:val="Heading 3 Char"/>
    <w:basedOn w:val="DefaultParagraphFont"/>
    <w:link w:val="Heading3"/>
    <w:semiHidden/>
    <w:rsid w:val="00861CCA"/>
    <w:rPr>
      <w:rFonts w:asciiTheme="majorHAnsi" w:eastAsiaTheme="majorEastAsia" w:hAnsiTheme="majorHAnsi" w:cstheme="majorBidi"/>
      <w:color w:val="1F4D78" w:themeColor="accent1" w:themeShade="7F"/>
      <w:sz w:val="24"/>
      <w:szCs w:val="24"/>
      <w:lang w:eastAsia="en-US"/>
    </w:rPr>
  </w:style>
  <w:style w:type="character" w:customStyle="1" w:styleId="ListParagraphChar">
    <w:name w:val="List Paragraph Char"/>
    <w:basedOn w:val="DefaultParagraphFont"/>
    <w:link w:val="ListParagraph"/>
    <w:uiPriority w:val="34"/>
    <w:rsid w:val="00383EF8"/>
    <w:rPr>
      <w:rFonts w:ascii="Tahoma" w:eastAsia="Cambria" w:hAnsi="Tahoma"/>
      <w:szCs w:val="22"/>
      <w:lang w:eastAsia="en-US"/>
    </w:rPr>
  </w:style>
  <w:style w:type="paragraph" w:styleId="FootnoteText">
    <w:name w:val="footnote text"/>
    <w:basedOn w:val="Normal"/>
    <w:link w:val="FootnoteTextChar"/>
    <w:uiPriority w:val="99"/>
    <w:unhideWhenUsed/>
    <w:rsid w:val="00171DC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71DC0"/>
    <w:rPr>
      <w:rFonts w:asciiTheme="minorHAnsi" w:eastAsiaTheme="minorHAnsi" w:hAnsiTheme="minorHAnsi" w:cstheme="minorBidi"/>
      <w:lang w:eastAsia="en-US"/>
    </w:rPr>
  </w:style>
  <w:style w:type="paragraph" w:styleId="Caption">
    <w:name w:val="caption"/>
    <w:basedOn w:val="Normal"/>
    <w:next w:val="Normal"/>
    <w:unhideWhenUsed/>
    <w:qFormat/>
    <w:rsid w:val="007268D0"/>
    <w:pPr>
      <w:spacing w:after="200"/>
    </w:pPr>
    <w:rPr>
      <w:i/>
      <w:iCs/>
      <w:color w:val="44546A" w:themeColor="text2"/>
      <w:sz w:val="18"/>
      <w:szCs w:val="18"/>
    </w:rPr>
  </w:style>
  <w:style w:type="paragraph" w:styleId="NormalWeb">
    <w:name w:val="Normal (Web)"/>
    <w:basedOn w:val="Normal"/>
    <w:uiPriority w:val="99"/>
    <w:unhideWhenUsed/>
    <w:rsid w:val="00A271D2"/>
    <w:pPr>
      <w:spacing w:before="100" w:beforeAutospacing="1" w:after="100" w:afterAutospacing="1"/>
    </w:pPr>
    <w:rPr>
      <w:rFonts w:ascii="Times New Roman" w:hAnsi="Times New Roman"/>
      <w:sz w:val="24"/>
      <w:szCs w:val="24"/>
      <w:lang w:eastAsia="en-AU"/>
    </w:rPr>
  </w:style>
  <w:style w:type="character" w:styleId="FollowedHyperlink">
    <w:name w:val="FollowedHyperlink"/>
    <w:basedOn w:val="DefaultParagraphFont"/>
    <w:rsid w:val="001644DF"/>
    <w:rPr>
      <w:color w:val="954F72" w:themeColor="followedHyperlink"/>
      <w:u w:val="single"/>
    </w:rPr>
  </w:style>
  <w:style w:type="paragraph" w:customStyle="1" w:styleId="CAULnormal">
    <w:name w:val="CAULnormal"/>
    <w:basedOn w:val="Normal"/>
    <w:link w:val="CAULnormalChar"/>
    <w:qFormat/>
    <w:rsid w:val="009C107B"/>
    <w:pPr>
      <w:spacing w:after="120"/>
    </w:pPr>
    <w:rPr>
      <w:rFonts w:asciiTheme="majorHAnsi" w:hAnsiTheme="majorHAnsi"/>
      <w:sz w:val="22"/>
      <w:szCs w:val="22"/>
      <w:lang w:eastAsia="zh-CN"/>
    </w:rPr>
  </w:style>
  <w:style w:type="character" w:customStyle="1" w:styleId="CAULnormalChar">
    <w:name w:val="CAULnormal Char"/>
    <w:basedOn w:val="DefaultParagraphFont"/>
    <w:link w:val="CAULnormal"/>
    <w:rsid w:val="009C107B"/>
    <w:rPr>
      <w:rFonts w:asciiTheme="majorHAnsi" w:hAnsiTheme="majorHAnsi"/>
      <w:sz w:val="22"/>
      <w:szCs w:val="22"/>
      <w:lang w:eastAsia="zh-CN"/>
    </w:rPr>
  </w:style>
  <w:style w:type="paragraph" w:customStyle="1" w:styleId="BoardAgenda2">
    <w:name w:val="BoardAgenda2"/>
    <w:basedOn w:val="Normal"/>
    <w:link w:val="BoardAgenda2Char"/>
    <w:qFormat/>
    <w:rsid w:val="00A7715E"/>
    <w:pPr>
      <w:spacing w:before="0" w:after="120"/>
      <w:ind w:left="0"/>
    </w:pPr>
    <w:rPr>
      <w:rFonts w:asciiTheme="minorHAnsi" w:hAnsiTheme="minorHAnsi" w:cs="Tahoma"/>
      <w:bCs/>
      <w:sz w:val="24"/>
      <w:szCs w:val="24"/>
      <w:lang w:eastAsia="en-AU"/>
    </w:rPr>
  </w:style>
  <w:style w:type="character" w:customStyle="1" w:styleId="BoardAgenda2Char">
    <w:name w:val="BoardAgenda2 Char"/>
    <w:basedOn w:val="DefaultParagraphFont"/>
    <w:link w:val="BoardAgenda2"/>
    <w:rsid w:val="00A7715E"/>
    <w:rPr>
      <w:rFonts w:asciiTheme="minorHAnsi" w:hAnsiTheme="minorHAnsi" w:cs="Tahoma"/>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5088">
      <w:bodyDiv w:val="1"/>
      <w:marLeft w:val="0"/>
      <w:marRight w:val="0"/>
      <w:marTop w:val="0"/>
      <w:marBottom w:val="0"/>
      <w:divBdr>
        <w:top w:val="none" w:sz="0" w:space="0" w:color="auto"/>
        <w:left w:val="none" w:sz="0" w:space="0" w:color="auto"/>
        <w:bottom w:val="none" w:sz="0" w:space="0" w:color="auto"/>
        <w:right w:val="none" w:sz="0" w:space="0" w:color="auto"/>
      </w:divBdr>
    </w:div>
    <w:div w:id="669797799">
      <w:bodyDiv w:val="1"/>
      <w:marLeft w:val="0"/>
      <w:marRight w:val="0"/>
      <w:marTop w:val="0"/>
      <w:marBottom w:val="0"/>
      <w:divBdr>
        <w:top w:val="none" w:sz="0" w:space="0" w:color="auto"/>
        <w:left w:val="none" w:sz="0" w:space="0" w:color="auto"/>
        <w:bottom w:val="none" w:sz="0" w:space="0" w:color="auto"/>
        <w:right w:val="none" w:sz="0" w:space="0" w:color="auto"/>
      </w:divBdr>
    </w:div>
    <w:div w:id="1071342842">
      <w:bodyDiv w:val="1"/>
      <w:marLeft w:val="0"/>
      <w:marRight w:val="0"/>
      <w:marTop w:val="0"/>
      <w:marBottom w:val="0"/>
      <w:divBdr>
        <w:top w:val="none" w:sz="0" w:space="0" w:color="auto"/>
        <w:left w:val="none" w:sz="0" w:space="0" w:color="auto"/>
        <w:bottom w:val="none" w:sz="0" w:space="0" w:color="auto"/>
        <w:right w:val="none" w:sz="0" w:space="0" w:color="auto"/>
      </w:divBdr>
    </w:div>
    <w:div w:id="1226721469">
      <w:bodyDiv w:val="1"/>
      <w:marLeft w:val="0"/>
      <w:marRight w:val="0"/>
      <w:marTop w:val="0"/>
      <w:marBottom w:val="0"/>
      <w:divBdr>
        <w:top w:val="none" w:sz="0" w:space="0" w:color="auto"/>
        <w:left w:val="none" w:sz="0" w:space="0" w:color="auto"/>
        <w:bottom w:val="none" w:sz="0" w:space="0" w:color="auto"/>
        <w:right w:val="none" w:sz="0" w:space="0" w:color="auto"/>
      </w:divBdr>
    </w:div>
    <w:div w:id="1474173646">
      <w:bodyDiv w:val="1"/>
      <w:marLeft w:val="0"/>
      <w:marRight w:val="0"/>
      <w:marTop w:val="0"/>
      <w:marBottom w:val="0"/>
      <w:divBdr>
        <w:top w:val="none" w:sz="0" w:space="0" w:color="auto"/>
        <w:left w:val="none" w:sz="0" w:space="0" w:color="auto"/>
        <w:bottom w:val="none" w:sz="0" w:space="0" w:color="auto"/>
        <w:right w:val="none" w:sz="0" w:space="0" w:color="auto"/>
      </w:divBdr>
    </w:div>
    <w:div w:id="1564097420">
      <w:bodyDiv w:val="1"/>
      <w:marLeft w:val="0"/>
      <w:marRight w:val="0"/>
      <w:marTop w:val="0"/>
      <w:marBottom w:val="0"/>
      <w:divBdr>
        <w:top w:val="none" w:sz="0" w:space="0" w:color="auto"/>
        <w:left w:val="none" w:sz="0" w:space="0" w:color="auto"/>
        <w:bottom w:val="none" w:sz="0" w:space="0" w:color="auto"/>
        <w:right w:val="none" w:sz="0" w:space="0" w:color="auto"/>
      </w:divBdr>
    </w:div>
    <w:div w:id="1666200001">
      <w:bodyDiv w:val="1"/>
      <w:marLeft w:val="0"/>
      <w:marRight w:val="0"/>
      <w:marTop w:val="0"/>
      <w:marBottom w:val="0"/>
      <w:divBdr>
        <w:top w:val="none" w:sz="0" w:space="0" w:color="auto"/>
        <w:left w:val="none" w:sz="0" w:space="0" w:color="auto"/>
        <w:bottom w:val="none" w:sz="0" w:space="0" w:color="auto"/>
        <w:right w:val="none" w:sz="0" w:space="0" w:color="auto"/>
      </w:divBdr>
    </w:div>
    <w:div w:id="1727753920">
      <w:bodyDiv w:val="1"/>
      <w:marLeft w:val="0"/>
      <w:marRight w:val="0"/>
      <w:marTop w:val="0"/>
      <w:marBottom w:val="0"/>
      <w:divBdr>
        <w:top w:val="none" w:sz="0" w:space="0" w:color="auto"/>
        <w:left w:val="none" w:sz="0" w:space="0" w:color="auto"/>
        <w:bottom w:val="none" w:sz="0" w:space="0" w:color="auto"/>
        <w:right w:val="none" w:sz="0" w:space="0" w:color="auto"/>
      </w:divBdr>
    </w:div>
    <w:div w:id="204047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cgr.edu.au/wp-content/uploads/2018/08/f39714_5746f0b1ac234e11956ace9c2e5e6fa5.pdf" TargetMode="External"/><Relationship Id="rId2" Type="http://schemas.openxmlformats.org/officeDocument/2006/relationships/hyperlink" Target="https://www.alia.org.au/node/426/laws" TargetMode="External"/><Relationship Id="rId1" Type="http://schemas.openxmlformats.org/officeDocument/2006/relationships/hyperlink" Target="https://www.caul.edu.au/sites/default/files/documents/caul-planning/caul-statements2018guidanc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C96D2-3282-4579-8067-82CBEB35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1384</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JCU</Company>
  <LinksUpToDate>false</LinksUpToDate>
  <CharactersWithSpaces>9342</CharactersWithSpaces>
  <SharedDoc>false</SharedDoc>
  <HLinks>
    <vt:vector size="24" baseType="variant">
      <vt:variant>
        <vt:i4>1966150</vt:i4>
      </vt:variant>
      <vt:variant>
        <vt:i4>9</vt:i4>
      </vt:variant>
      <vt:variant>
        <vt:i4>0</vt:i4>
      </vt:variant>
      <vt:variant>
        <vt:i4>5</vt:i4>
      </vt:variant>
      <vt:variant>
        <vt:lpwstr>http://www.acode.edu.au/</vt:lpwstr>
      </vt:variant>
      <vt:variant>
        <vt:lpwstr/>
      </vt:variant>
      <vt:variant>
        <vt:i4>2883628</vt:i4>
      </vt:variant>
      <vt:variant>
        <vt:i4>6</vt:i4>
      </vt:variant>
      <vt:variant>
        <vt:i4>0</vt:i4>
      </vt:variant>
      <vt:variant>
        <vt:i4>5</vt:i4>
      </vt:variant>
      <vt:variant>
        <vt:lpwstr>http://www.caul.edu.au/</vt:lpwstr>
      </vt:variant>
      <vt:variant>
        <vt:lpwstr/>
      </vt:variant>
      <vt:variant>
        <vt:i4>4522064</vt:i4>
      </vt:variant>
      <vt:variant>
        <vt:i4>3</vt:i4>
      </vt:variant>
      <vt:variant>
        <vt:i4>0</vt:i4>
      </vt:variant>
      <vt:variant>
        <vt:i4>5</vt:i4>
      </vt:variant>
      <vt:variant>
        <vt:lpwstr>http://www.caudit.edu.au/</vt:lpwstr>
      </vt:variant>
      <vt:variant>
        <vt:lpwstr/>
      </vt:variant>
      <vt:variant>
        <vt:i4>1835073</vt:i4>
      </vt:variant>
      <vt:variant>
        <vt:i4>0</vt:i4>
      </vt:variant>
      <vt:variant>
        <vt:i4>0</vt:i4>
      </vt:variant>
      <vt:variant>
        <vt:i4>5</vt:i4>
      </vt:variant>
      <vt:variant>
        <vt:lpwstr>https://theta.edu.au/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jc152319</dc:creator>
  <cp:keywords/>
  <cp:lastModifiedBy>Diane Costello</cp:lastModifiedBy>
  <cp:revision>2</cp:revision>
  <cp:lastPrinted>2018-11-18T08:10:00Z</cp:lastPrinted>
  <dcterms:created xsi:type="dcterms:W3CDTF">2018-11-22T05:24:00Z</dcterms:created>
  <dcterms:modified xsi:type="dcterms:W3CDTF">2018-11-22T05:24:00Z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c58fb4a4-380d-3c94-8b88-e667084a1595</vt:lpwstr>
  </property>
</Properties>
</file>