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B2" w:rsidRDefault="000952B2" w:rsidP="000952B2">
      <w:pPr>
        <w:jc w:val="center"/>
        <w:rPr>
          <w:b/>
        </w:rPr>
      </w:pPr>
      <w:r w:rsidRPr="000952B2">
        <w:rPr>
          <w:b/>
        </w:rPr>
        <w:t>Web Content Accessibility Guidelines (WCAG) 2.0</w:t>
      </w:r>
      <w:r>
        <w:t xml:space="preserve"> </w:t>
      </w:r>
      <w:r>
        <w:rPr>
          <w:b/>
        </w:rPr>
        <w:t>Compliance:</w:t>
      </w:r>
    </w:p>
    <w:p w:rsidR="00AA7809" w:rsidRPr="00494783" w:rsidRDefault="00DA73B3" w:rsidP="000952B2">
      <w:pPr>
        <w:jc w:val="center"/>
        <w:rPr>
          <w:b/>
        </w:rPr>
      </w:pPr>
      <w:r w:rsidRPr="00494783">
        <w:rPr>
          <w:b/>
        </w:rPr>
        <w:t>Considerations for CAUL</w:t>
      </w:r>
    </w:p>
    <w:p w:rsidR="00DA73B3" w:rsidRDefault="00DA73B3"/>
    <w:p w:rsidR="002035A1" w:rsidRPr="007200DB" w:rsidRDefault="002035A1">
      <w:pPr>
        <w:rPr>
          <w:b/>
        </w:rPr>
      </w:pPr>
      <w:r w:rsidRPr="007200DB">
        <w:rPr>
          <w:b/>
        </w:rPr>
        <w:t>INTRODUCTION</w:t>
      </w:r>
    </w:p>
    <w:p w:rsidR="00A27419" w:rsidRDefault="00DA73B3" w:rsidP="007200DB">
      <w:r>
        <w:t>Equal access to website resources is a legal requirement</w:t>
      </w:r>
      <w:r w:rsidR="005550FC">
        <w:t xml:space="preserve"> in Australia</w:t>
      </w:r>
      <w:r>
        <w:t xml:space="preserve">. </w:t>
      </w:r>
      <w:r w:rsidR="00A27419">
        <w:t>The Disability Discrimination Act</w:t>
      </w:r>
      <w:r w:rsidR="001D3D04">
        <w:t xml:space="preserve"> (</w:t>
      </w:r>
      <w:proofErr w:type="spellStart"/>
      <w:r w:rsidR="001D3D04">
        <w:t>Cth</w:t>
      </w:r>
      <w:proofErr w:type="spellEnd"/>
      <w:r w:rsidR="001D3D04">
        <w:t>) (Austl.)</w:t>
      </w:r>
      <w:r w:rsidR="005550FC">
        <w:t xml:space="preserve"> 1992</w:t>
      </w:r>
      <w:r w:rsidR="00A27419">
        <w:t xml:space="preserve"> (DDA) covers the provision of information and online services.  Equal access to these information sources and services is required under this act where it can “reasonably be provided”.  </w:t>
      </w:r>
      <w:r w:rsidR="002035A1">
        <w:t>T</w:t>
      </w:r>
      <w:r w:rsidR="00A27419">
        <w:t>he DDA can be applied to any information or goods, services or facilities</w:t>
      </w:r>
      <w:r w:rsidR="002035A1">
        <w:t xml:space="preserve"> provided</w:t>
      </w:r>
      <w:r w:rsidR="00A27419">
        <w:t xml:space="preserve"> through the internet whether the service is provided for payment or not.</w:t>
      </w:r>
      <w:r w:rsidR="00AA7809">
        <w:t xml:space="preserve"> It should be noted that </w:t>
      </w:r>
      <w:r w:rsidR="00494783">
        <w:t>w</w:t>
      </w:r>
      <w:r w:rsidR="00494783" w:rsidRPr="00494783">
        <w:t>eb users with a disability who cannot access a website can, and do, take their cases to the Human Rights Commission</w:t>
      </w:r>
      <w:r w:rsidR="000D0004">
        <w:t xml:space="preserve"> </w:t>
      </w:r>
      <w:r w:rsidR="008B1996">
        <w:fldChar w:fldCharType="begin"/>
      </w:r>
      <w:r w:rsidR="008B1996">
        <w:instrText xml:space="preserve"> ADDIN EN.CITE &lt;EndNote&gt;&lt;Cite&gt;&lt;Author&gt;Australian Human Rights Commision&lt;/Author&gt;&lt;Year&gt;2010&lt;/Year&gt;&lt;RecNum&gt;1&lt;/RecNum&gt;&lt;DisplayText&gt;(Australian Human Rights Commision, 2010)&lt;/DisplayText&gt;&lt;record&gt;&lt;rec-number&gt;1&lt;/rec-number&gt;&lt;foreign-keys&gt;&lt;key app="EN" db-id="0a5eexazovwpxpee0zopv9tnsz5t229d5e5e" timestamp="1401246841"&gt;1&lt;/key&gt;&lt;/foreign-keys&gt;&lt;ref-type name="Government Document"&gt;46&lt;/ref-type&gt;&lt;contributors&gt;&lt;authors&gt;&lt;author&gt;Australian Human Rights Commision,&lt;/author&gt;&lt;/authors&gt;&lt;secondary-authors&gt;&lt;author&gt;Australian Human Rights Commission&lt;/author&gt;&lt;/secondary-authors&gt;&lt;/contributors&gt;&lt;titles&gt;&lt;title&gt;World Wide Web Access: Disability Discrimination Act Advisory Notes Version 4.0&lt;/title&gt;&lt;/titles&gt;&lt;dates&gt;&lt;year&gt;2010&lt;/year&gt;&lt;/dates&gt;&lt;publisher&gt;Australian Human Rights Commission&lt;/publisher&gt;&lt;urls&gt;&lt;related-urls&gt;&lt;url&gt;http://www.humanrights.gov.au/our-work/disability-rights/standards/world-wide-web-access-disability-discrimination-act-advisory&lt;/url&gt;&lt;/related-urls&gt;&lt;/urls&gt;&lt;access-date&gt;27 May 2014&lt;/access-date&gt;&lt;/record&gt;&lt;/Cite&gt;&lt;/EndNote&gt;</w:instrText>
      </w:r>
      <w:r w:rsidR="008B1996">
        <w:fldChar w:fldCharType="separate"/>
      </w:r>
      <w:r w:rsidR="008B1996">
        <w:rPr>
          <w:noProof/>
        </w:rPr>
        <w:t>(</w:t>
      </w:r>
      <w:hyperlink w:anchor="_ENREF_3" w:tooltip="Australian Human Rights Commision, 2010 #1" w:history="1">
        <w:r w:rsidR="007200DB">
          <w:rPr>
            <w:noProof/>
          </w:rPr>
          <w:t>Australian Human Rights Commision, 2010</w:t>
        </w:r>
      </w:hyperlink>
      <w:r w:rsidR="008B1996">
        <w:rPr>
          <w:noProof/>
        </w:rPr>
        <w:t>)</w:t>
      </w:r>
      <w:r w:rsidR="008B1996">
        <w:fldChar w:fldCharType="end"/>
      </w:r>
      <w:r w:rsidR="00494783" w:rsidRPr="00494783">
        <w:t>.</w:t>
      </w:r>
    </w:p>
    <w:p w:rsidR="00A27419" w:rsidRPr="00494783" w:rsidRDefault="002035A1" w:rsidP="00A27419">
      <w:pPr>
        <w:pStyle w:val="ListParagraph"/>
        <w:ind w:left="0"/>
        <w:rPr>
          <w:b/>
        </w:rPr>
      </w:pPr>
      <w:r>
        <w:rPr>
          <w:b/>
        </w:rPr>
        <w:t>BACKGROUND</w:t>
      </w:r>
    </w:p>
    <w:p w:rsidR="00A27419" w:rsidRDefault="001744D7" w:rsidP="007200DB">
      <w:r w:rsidRPr="004014C8">
        <w:t xml:space="preserve">Anyone </w:t>
      </w:r>
      <w:r w:rsidR="002035A1">
        <w:t>operating</w:t>
      </w:r>
      <w:r w:rsidRPr="004014C8">
        <w:t xml:space="preserve"> a</w:t>
      </w:r>
      <w:r w:rsidR="008B1996">
        <w:t>n Australian</w:t>
      </w:r>
      <w:r w:rsidRPr="004014C8">
        <w:t xml:space="preserve"> website must be compliant under the World Wide Web Access: Disability Discrimination Act which is administered by the Australian Human Rights Commission</w:t>
      </w:r>
      <w:r w:rsidR="009D2C9E">
        <w:t xml:space="preserve"> </w:t>
      </w:r>
      <w:r w:rsidR="008B1996">
        <w:fldChar w:fldCharType="begin"/>
      </w:r>
      <w:r w:rsidR="008B1996">
        <w:instrText xml:space="preserve"> ADDIN EN.CITE &lt;EndNote&gt;&lt;Cite&gt;&lt;Author&gt;Australian Human Rights Commision&lt;/Author&gt;&lt;Year&gt;2010&lt;/Year&gt;&lt;RecNum&gt;1&lt;/RecNum&gt;&lt;DisplayText&gt;(Australian Human Rights Commision, 2010)&lt;/DisplayText&gt;&lt;record&gt;&lt;rec-number&gt;1&lt;/rec-number&gt;&lt;foreign-keys&gt;&lt;key app="EN" db-id="0a5eexazovwpxpee0zopv9tnsz5t229d5e5e" timestamp="1401246841"&gt;1&lt;/key&gt;&lt;/foreign-keys&gt;&lt;ref-type name="Government Document"&gt;46&lt;/ref-type&gt;&lt;contributors&gt;&lt;authors&gt;&lt;author&gt;Australian Human Rights Commision,&lt;/author&gt;&lt;/authors&gt;&lt;secondary-authors&gt;&lt;author&gt;Australian Human Rights Commission&lt;/author&gt;&lt;/secondary-authors&gt;&lt;/contributors&gt;&lt;titles&gt;&lt;title&gt;World Wide Web Access: Disability Discrimination Act Advisory Notes Version 4.0&lt;/title&gt;&lt;/titles&gt;&lt;dates&gt;&lt;year&gt;2010&lt;/year&gt;&lt;/dates&gt;&lt;publisher&gt;Australian Human Rights Commission&lt;/publisher&gt;&lt;urls&gt;&lt;related-urls&gt;&lt;url&gt;http://www.humanrights.gov.au/our-work/disability-rights/standards/world-wide-web-access-disability-discrimination-act-advisory&lt;/url&gt;&lt;/related-urls&gt;&lt;/urls&gt;&lt;access-date&gt;27 May 2014&lt;/access-date&gt;&lt;/record&gt;&lt;/Cite&gt;&lt;/EndNote&gt;</w:instrText>
      </w:r>
      <w:r w:rsidR="008B1996">
        <w:fldChar w:fldCharType="separate"/>
      </w:r>
      <w:r w:rsidR="008B1996">
        <w:rPr>
          <w:noProof/>
        </w:rPr>
        <w:t>(</w:t>
      </w:r>
      <w:hyperlink w:anchor="_ENREF_3" w:tooltip="Australian Human Rights Commision, 2010 #1" w:history="1">
        <w:r w:rsidR="007200DB">
          <w:rPr>
            <w:noProof/>
          </w:rPr>
          <w:t>Australian Human Rights Commision, 2010</w:t>
        </w:r>
      </w:hyperlink>
      <w:r w:rsidR="008B1996">
        <w:rPr>
          <w:noProof/>
        </w:rPr>
        <w:t>)</w:t>
      </w:r>
      <w:r w:rsidR="008B1996">
        <w:fldChar w:fldCharType="end"/>
      </w:r>
      <w:r>
        <w:t>.</w:t>
      </w:r>
      <w:r w:rsidR="002035A1">
        <w:t xml:space="preserve"> </w:t>
      </w:r>
      <w:r w:rsidRPr="004014C8">
        <w:t>This includes</w:t>
      </w:r>
      <w:r w:rsidR="00573CB3">
        <w:t xml:space="preserve"> </w:t>
      </w:r>
      <w:r w:rsidRPr="004014C8">
        <w:t xml:space="preserve">Australian Government Agencies </w:t>
      </w:r>
      <w:r w:rsidR="002035A1">
        <w:t>who are</w:t>
      </w:r>
      <w:r w:rsidRPr="004014C8">
        <w:t xml:space="preserve"> required to be compliant under the Web Accessibility National Transition Strategy.</w:t>
      </w:r>
      <w:r w:rsidR="007200DB">
        <w:t xml:space="preserve"> </w:t>
      </w:r>
      <w:r w:rsidR="008B1996">
        <w:t>This Act is largely buil</w:t>
      </w:r>
      <w:r w:rsidR="00573CB3">
        <w:t>t</w:t>
      </w:r>
      <w:r w:rsidR="008B1996">
        <w:t xml:space="preserve"> around a set of standards developed by the World Wide Web Consortium</w:t>
      </w:r>
      <w:r w:rsidR="002035A1">
        <w:t xml:space="preserve"> (W3C)</w:t>
      </w:r>
      <w:r w:rsidR="008B1996">
        <w:t xml:space="preserve">. </w:t>
      </w:r>
      <w:r w:rsidR="00A27419">
        <w:t xml:space="preserve">The WC3 </w:t>
      </w:r>
      <w:r w:rsidR="00AA7809">
        <w:t>created</w:t>
      </w:r>
      <w:r w:rsidR="00A27419">
        <w:t xml:space="preserve"> a working party to establish </w:t>
      </w:r>
      <w:r>
        <w:t xml:space="preserve">accessibility </w:t>
      </w:r>
      <w:r w:rsidR="00A27419">
        <w:t>guidelines to assist developers when creating online resources</w:t>
      </w:r>
      <w:r w:rsidR="00494783">
        <w:t xml:space="preserve">.  </w:t>
      </w:r>
      <w:r>
        <w:t>Web Content Accessibility Guidelines (</w:t>
      </w:r>
      <w:r w:rsidR="00494783">
        <w:t>WCAG</w:t>
      </w:r>
      <w:r>
        <w:t xml:space="preserve">) </w:t>
      </w:r>
      <w:r w:rsidR="00494783">
        <w:t xml:space="preserve">2.0 is the result of this effort and is now the International standard for accessible online content </w:t>
      </w:r>
      <w:hyperlink r:id="rId7" w:history="1">
        <w:r w:rsidR="00494783" w:rsidRPr="004014C8">
          <w:rPr>
            <w:rStyle w:val="Hyperlink"/>
          </w:rPr>
          <w:t>ISO/IEC 40500:2012</w:t>
        </w:r>
      </w:hyperlink>
      <w:r w:rsidR="000D0004">
        <w:t xml:space="preserve"> </w:t>
      </w:r>
      <w:r w:rsidR="008B1996">
        <w:fldChar w:fldCharType="begin"/>
      </w:r>
      <w:r w:rsidR="008B1996">
        <w:instrText xml:space="preserve"> ADDIN EN.CITE &lt;EndNote&gt;&lt;Cite&gt;&lt;Author&gt;International Organization for Standardization&lt;/Author&gt;&lt;Year&gt;2012&lt;/Year&gt;&lt;RecNum&gt;2&lt;/RecNum&gt;&lt;DisplayText&gt;(International Organization for Standardization, 2012)&lt;/DisplayText&gt;&lt;record&gt;&lt;rec-number&gt;2&lt;/rec-number&gt;&lt;foreign-keys&gt;&lt;key app="EN" db-id="0a5eexazovwpxpee0zopv9tnsz5t229d5e5e" timestamp="1401247533"&gt;2&lt;/key&gt;&lt;/foreign-keys&gt;&lt;ref-type name="Standard"&gt;58&lt;/ref-type&gt;&lt;contributors&gt;&lt;authors&gt;&lt;author&gt;International Organization for Standardization,&lt;/author&gt;&lt;/authors&gt;&lt;/contributors&gt;&lt;titles&gt;&lt;title&gt;Information Technology - W3C Web Content Accessibility Guidlines (WCAG) 2.0&lt;/title&gt;&lt;secondary-title&gt;ISO/IEC 40500&lt;/secondary-title&gt;&lt;/titles&gt;&lt;dates&gt;&lt;year&gt;2012&lt;/year&gt;&lt;/dates&gt;&lt;pub-location&gt;Geneva Switzerland&lt;/pub-location&gt;&lt;publisher&gt;International Organization for Standardization&lt;/publisher&gt;&lt;urls&gt;&lt;related-urls&gt;&lt;url&gt;http://standards.iso.org/ittf/PubliclyAvailableStandards/index.html&lt;/url&gt;&lt;/related-urls&gt;&lt;/urls&gt;&lt;access-date&gt;27 May 2014&lt;/access-date&gt;&lt;/record&gt;&lt;/Cite&gt;&lt;/EndNote&gt;</w:instrText>
      </w:r>
      <w:r w:rsidR="008B1996">
        <w:fldChar w:fldCharType="separate"/>
      </w:r>
      <w:r w:rsidR="008B1996">
        <w:rPr>
          <w:noProof/>
        </w:rPr>
        <w:t>(</w:t>
      </w:r>
      <w:hyperlink w:anchor="_ENREF_5" w:tooltip="International Organization for Standardization, 2012 #2" w:history="1">
        <w:r w:rsidR="007200DB">
          <w:rPr>
            <w:noProof/>
          </w:rPr>
          <w:t>International Organization for Standardization, 2012</w:t>
        </w:r>
      </w:hyperlink>
      <w:r w:rsidR="008B1996">
        <w:rPr>
          <w:noProof/>
        </w:rPr>
        <w:t>)</w:t>
      </w:r>
      <w:r w:rsidR="008B1996">
        <w:fldChar w:fldCharType="end"/>
      </w:r>
      <w:r w:rsidR="00494783" w:rsidRPr="004014C8">
        <w:t>.</w:t>
      </w:r>
    </w:p>
    <w:p w:rsidR="00761EE1" w:rsidRPr="00761EE1" w:rsidRDefault="002035A1" w:rsidP="00500F56">
      <w:pPr>
        <w:rPr>
          <w:b/>
        </w:rPr>
      </w:pPr>
      <w:r>
        <w:rPr>
          <w:b/>
        </w:rPr>
        <w:t>COMMENTARY</w:t>
      </w:r>
    </w:p>
    <w:p w:rsidR="00A74AA8" w:rsidRDefault="00494783" w:rsidP="00A915F0">
      <w:r>
        <w:t>In November 2009, the Online and Communications Council (OCC) endorsed WCAG 2.0. This requires all Australian, state and territory government websites created after July 2010 to conform to the guidelines to meet WCAG 2.0 Level A by December 2012.</w:t>
      </w:r>
      <w:r w:rsidR="000D0004">
        <w:t xml:space="preserve"> </w:t>
      </w:r>
      <w:r>
        <w:t xml:space="preserve">Federal Government organisations are covered under the Web Accessibility National Transition Strategy (NTS).  </w:t>
      </w:r>
      <w:r w:rsidR="002035A1">
        <w:t>These</w:t>
      </w:r>
      <w:r>
        <w:t xml:space="preserve"> </w:t>
      </w:r>
      <w:r w:rsidR="00F271AC">
        <w:t xml:space="preserve">government </w:t>
      </w:r>
      <w:r w:rsidR="001744D7">
        <w:t>agencies</w:t>
      </w:r>
      <w:r>
        <w:t xml:space="preserve"> must comply with Level A by December 31, 2012 and AA by December 31, 2014</w:t>
      </w:r>
      <w:r w:rsidR="000D0004">
        <w:t xml:space="preserve"> </w:t>
      </w:r>
      <w:r w:rsidR="008B1996">
        <w:fldChar w:fldCharType="begin"/>
      </w:r>
      <w:r w:rsidR="00573CB3">
        <w:instrText xml:space="preserve"> ADDIN EN.CITE &lt;EndNote&gt;&lt;Cite&gt;&lt;Author&gt;AUSTRALIAN GOVERNMENT INFORMATION MANAGEMENT OFFICE&lt;/Author&gt;&lt;Year&gt;2010&lt;/Year&gt;&lt;RecNum&gt;4&lt;/RecNum&gt;&lt;DisplayText&gt;(Australian Government Information Management Office, 2010)&lt;/DisplayText&gt;&lt;record&gt;&lt;rec-number&gt;4&lt;/rec-number&gt;&lt;foreign-keys&gt;&lt;key app="EN" db-id="0a5eexazovwpxpee0zopv9tnsz5t229d5e5e" timestamp="1401248266"&gt;4&lt;/key&gt;&lt;/foreign-keys&gt;&lt;ref-type name="Government Document"&gt;46&lt;/ref-type&gt;&lt;contributors&gt;&lt;authors&gt;&lt;author&gt;Australian Government Information Management Office,&lt;/author&gt;&lt;/authors&gt;&lt;secondary-authors&gt;&lt;author&gt;Department of Finance and Deregulation,&lt;/author&gt;&lt;/secondary-authors&gt;&lt;/contributors&gt;&lt;titles&gt;&lt;title&gt;Web Accessibility National Transition Strategy. The Australian Government&amp;apos;s adoption and implimentation of Web Content Accessibility Guidlines version 2.0 (WCAG 2.0)&lt;/title&gt;&lt;/titles&gt;&lt;pages&gt;26&lt;/pages&gt;&lt;dates&gt;&lt;year&gt;2010&lt;/year&gt;&lt;/dates&gt;&lt;publisher&gt;Department of Finance and Deregulation,&amp;#xD;&lt;/publisher&gt;&lt;urls&gt;&lt;related-urls&gt;&lt;url&gt;http://www.finance.gov.au/publications/wcag-2-implementation/docs/wcag-transition-strategy.pdf&lt;/url&gt;&lt;/related-urls&gt;&lt;/urls&gt;&lt;/record&gt;&lt;/Cite&gt;&lt;/EndNote&gt;</w:instrText>
      </w:r>
      <w:r w:rsidR="008B1996">
        <w:fldChar w:fldCharType="separate"/>
      </w:r>
      <w:r w:rsidR="00573CB3">
        <w:rPr>
          <w:noProof/>
        </w:rPr>
        <w:t>(</w:t>
      </w:r>
      <w:hyperlink w:anchor="_ENREF_1" w:tooltip="Australian Government Information Management Office, 2010 #4" w:history="1">
        <w:r w:rsidR="007200DB">
          <w:rPr>
            <w:noProof/>
          </w:rPr>
          <w:t>Australian Government Information Management Office, 2010</w:t>
        </w:r>
      </w:hyperlink>
      <w:r w:rsidR="00573CB3">
        <w:rPr>
          <w:noProof/>
        </w:rPr>
        <w:t>)</w:t>
      </w:r>
      <w:r w:rsidR="008B1996">
        <w:fldChar w:fldCharType="end"/>
      </w:r>
      <w:r>
        <w:t>.</w:t>
      </w:r>
      <w:r w:rsidR="00500F56">
        <w:t xml:space="preserve">  </w:t>
      </w:r>
      <w:r w:rsidR="00761EE1">
        <w:t xml:space="preserve">There has been significant debate as to whether Universities are obliged to follow the mandate of the Web Accessibility National Transition Strategy.  </w:t>
      </w:r>
      <w:r w:rsidR="00613D4D">
        <w:t xml:space="preserve">A strictly legal reading of the situation indicates that Universities are not required to meet the NTS timelines.  </w:t>
      </w:r>
      <w:r w:rsidR="00732C56">
        <w:t>The</w:t>
      </w:r>
      <w:r w:rsidR="00761EE1">
        <w:t xml:space="preserve"> </w:t>
      </w:r>
      <w:r w:rsidR="00F271AC">
        <w:t>Human Rights C</w:t>
      </w:r>
      <w:r w:rsidR="00761EE1">
        <w:t>ommission’s advisory notes indicate that compliance with the guidelines equates to compliance with the DDA.  Universities are covered under the DDA so it is a significant risk not to assu</w:t>
      </w:r>
      <w:r w:rsidR="00613D4D">
        <w:t xml:space="preserve">me the advisory notes </w:t>
      </w:r>
      <w:r w:rsidR="00761EE1">
        <w:t>are</w:t>
      </w:r>
      <w:r w:rsidR="00F271AC">
        <w:t xml:space="preserve"> </w:t>
      </w:r>
      <w:r w:rsidR="00761EE1">
        <w:t>relevant to Universities.</w:t>
      </w:r>
      <w:r w:rsidR="00613D4D">
        <w:t xml:space="preserve"> The view on this will be dependent on individual University tolerance </w:t>
      </w:r>
      <w:r w:rsidR="00732C56">
        <w:t>for</w:t>
      </w:r>
      <w:r w:rsidR="00613D4D">
        <w:t xml:space="preserve"> risk.</w:t>
      </w:r>
      <w:r w:rsidR="00761EE1">
        <w:t xml:space="preserve"> </w:t>
      </w:r>
      <w:r w:rsidR="00A74AA8">
        <w:t>The advisory note states the following:</w:t>
      </w:r>
    </w:p>
    <w:p w:rsidR="00A74AA8" w:rsidRDefault="00A74AA8" w:rsidP="00E429C2">
      <w:pPr>
        <w:ind w:left="709"/>
      </w:pPr>
      <w:r>
        <w:t>•Non-government websites and web resources whose development commences after July 1 2010 should comply with WCAG 2.0 to a minimum of AA-Level conformance;</w:t>
      </w:r>
    </w:p>
    <w:p w:rsidR="00A74AA8" w:rsidRDefault="00A74AA8" w:rsidP="00E429C2">
      <w:pPr>
        <w:ind w:left="709"/>
      </w:pPr>
      <w:r>
        <w:lastRenderedPageBreak/>
        <w:t>•Existing non-government websites or web resources that undergo substantial change in the period July 2010 – December 2013 should comply with WCAG 2.0 to a minimum level of AA conformance;</w:t>
      </w:r>
    </w:p>
    <w:p w:rsidR="00A74AA8" w:rsidRDefault="00A74AA8" w:rsidP="00E429C2">
      <w:pPr>
        <w:ind w:left="709"/>
      </w:pPr>
      <w:r>
        <w:t>•All existing non-government websites and web content should comply with WCAG 2.0 to a minimum level of AA conformance by December 31 2013.</w:t>
      </w:r>
    </w:p>
    <w:p w:rsidR="00A74AA8" w:rsidRDefault="008B1996" w:rsidP="007200DB">
      <w:pPr>
        <w:jc w:val="right"/>
      </w:pPr>
      <w:r>
        <w:fldChar w:fldCharType="begin"/>
      </w:r>
      <w:r>
        <w:instrText xml:space="preserve"> ADDIN EN.CITE &lt;EndNote&gt;&lt;Cite&gt;&lt;Author&gt;Australian Human Rights Commision&lt;/Author&gt;&lt;Year&gt;2010&lt;/Year&gt;&lt;RecNum&gt;1&lt;/RecNum&gt;&lt;Suffix&gt;`, Section 4.2 Transitioning to WCAG 2.0&lt;/Suffix&gt;&lt;DisplayText&gt;(Australian Human Rights Commision, 2010, Section 4.2 Transitioning to WCAG 2.0)&lt;/DisplayText&gt;&lt;record&gt;&lt;rec-number&gt;1&lt;/rec-number&gt;&lt;foreign-keys&gt;&lt;key app="EN" db-id="0a5eexazovwpxpee0zopv9tnsz5t229d5e5e" timestamp="1401246841"&gt;1&lt;/key&gt;&lt;/foreign-keys&gt;&lt;ref-type name="Government Document"&gt;46&lt;/ref-type&gt;&lt;contributors&gt;&lt;authors&gt;&lt;author&gt;Australian Human Rights Commision,&lt;/author&gt;&lt;/authors&gt;&lt;secondary-authors&gt;&lt;author&gt;Australian Human Rights Commission&lt;/author&gt;&lt;/secondary-authors&gt;&lt;/contributors&gt;&lt;titles&gt;&lt;title&gt;World Wide Web Access: Disability Discrimination Act Advisory Notes Version 4.0&lt;/title&gt;&lt;/titles&gt;&lt;dates&gt;&lt;year&gt;2010&lt;/year&gt;&lt;/dates&gt;&lt;publisher&gt;Australian Human Rights Commission&lt;/publisher&gt;&lt;urls&gt;&lt;related-urls&gt;&lt;url&gt;http://www.humanrights.gov.au/our-work/disability-rights/standards/world-wide-web-access-disability-discrimination-act-advisory&lt;/url&gt;&lt;/related-urls&gt;&lt;/urls&gt;&lt;access-date&gt;27 May 2014&lt;/access-date&gt;&lt;/record&gt;&lt;/Cite&gt;&lt;/EndNote&gt;</w:instrText>
      </w:r>
      <w:r>
        <w:fldChar w:fldCharType="separate"/>
      </w:r>
      <w:r>
        <w:rPr>
          <w:noProof/>
        </w:rPr>
        <w:t>(</w:t>
      </w:r>
      <w:hyperlink w:anchor="_ENREF_3" w:tooltip="Australian Human Rights Commision, 2010 #1" w:history="1">
        <w:r w:rsidR="007200DB">
          <w:rPr>
            <w:noProof/>
          </w:rPr>
          <w:t>Australian Human Rights Commision, 2010, Section 4.2 Transitioning to WCAG 2.0</w:t>
        </w:r>
      </w:hyperlink>
      <w:r>
        <w:rPr>
          <w:noProof/>
        </w:rPr>
        <w:t>)</w:t>
      </w:r>
      <w:r>
        <w:fldChar w:fldCharType="end"/>
      </w:r>
    </w:p>
    <w:p w:rsidR="00500F56" w:rsidRDefault="00A74AA8" w:rsidP="00A915F0">
      <w:r>
        <w:t xml:space="preserve"> These</w:t>
      </w:r>
      <w:r w:rsidR="00E429C2">
        <w:t xml:space="preserve"> dates align with the NTS timelines.  </w:t>
      </w:r>
      <w:r w:rsidR="00C20032">
        <w:t xml:space="preserve">The NTS is currently in Phase 3 </w:t>
      </w:r>
      <w:r w:rsidR="00500F56">
        <w:t>– Implementation</w:t>
      </w:r>
      <w:r w:rsidR="009D2C9E">
        <w:t xml:space="preserve"> (See Fig. 1.0</w:t>
      </w:r>
      <w:r w:rsidR="007200DB">
        <w:t xml:space="preserve"> in appendix A</w:t>
      </w:r>
      <w:r w:rsidR="009D2C9E">
        <w:t>)</w:t>
      </w:r>
      <w:r w:rsidR="00500F56">
        <w:t>.</w:t>
      </w:r>
    </w:p>
    <w:p w:rsidR="00B12169" w:rsidRDefault="00EC4F00" w:rsidP="00500F56">
      <w:r>
        <w:t xml:space="preserve">The Australian Government has endorsed the Web Content Accessibility Guidelines (WCAG 2.0) as the standard for website accessibility for all government websites. It is a mandatory requirement as outlined in the Australian Government Web Guide </w:t>
      </w:r>
      <w:r>
        <w:fldChar w:fldCharType="begin"/>
      </w:r>
      <w:r>
        <w:instrText xml:space="preserve"> ADDIN EN.CITE &lt;EndNote&gt;&lt;Cite&gt;&lt;Author&gt;Department of Finance&lt;/Author&gt;&lt;Year&gt;2012&lt;/Year&gt;&lt;RecNum&gt;3&lt;/RecNum&gt;&lt;DisplayText&gt;(Department of Finance, 2012)&lt;/DisplayText&gt;&lt;record&gt;&lt;rec-number&gt;3&lt;/rec-number&gt;&lt;foreign-keys&gt;&lt;key app="EN" db-id="0a5eexazovwpxpee0zopv9tnsz5t229d5e5e" timestamp="1401247926"&gt;3&lt;/key&gt;&lt;/foreign-keys&gt;&lt;ref-type name="Web Page"&gt;12&lt;/ref-type&gt;&lt;contributors&gt;&lt;authors&gt;&lt;author&gt;Department of Finance,&lt;/author&gt;&lt;/authors&gt;&lt;/contributors&gt;&lt;titles&gt;&lt;title&gt;The Australian Government Web Guide&lt;/title&gt;&lt;/titles&gt;&lt;volume&gt;2014&lt;/volume&gt;&lt;number&gt;27 May&lt;/number&gt;&lt;dates&gt;&lt;year&gt;2012&lt;/year&gt;&lt;/dates&gt;&lt;pub-location&gt;Parkes ACT&lt;/pub-location&gt;&lt;publisher&gt;Department of Finance&lt;/publisher&gt;&lt;urls&gt;&lt;related-urls&gt;&lt;url&gt;http://webguide.gov.au/&lt;/url&gt;&lt;/related-urls&gt;&lt;/urls&gt;&lt;/record&gt;&lt;/Cite&gt;&lt;/EndNote&gt;</w:instrText>
      </w:r>
      <w:r>
        <w:fldChar w:fldCharType="separate"/>
      </w:r>
      <w:r>
        <w:rPr>
          <w:noProof/>
        </w:rPr>
        <w:t>(</w:t>
      </w:r>
      <w:hyperlink w:anchor="_ENREF_4" w:tooltip="Department of Finance, 2012 #3" w:history="1">
        <w:r w:rsidR="007200DB">
          <w:rPr>
            <w:noProof/>
          </w:rPr>
          <w:t>Department of Finance, 2012</w:t>
        </w:r>
      </w:hyperlink>
      <w:r>
        <w:rPr>
          <w:noProof/>
        </w:rPr>
        <w:t>)</w:t>
      </w:r>
      <w:r>
        <w:fldChar w:fldCharType="end"/>
      </w:r>
      <w:r>
        <w:t>. Conformance is required on all websites owned and/or operated by government. This includes external (public-facing or private) and internal (closed community) sites.  That is, conformance is required for all internet, intranet and extranet sites. The requirement also includes all documents and applications hosted on these sites</w:t>
      </w:r>
      <w:r w:rsidR="00B12169">
        <w:t xml:space="preserve">. </w:t>
      </w:r>
    </w:p>
    <w:p w:rsidR="00500F56" w:rsidRDefault="00A915F0" w:rsidP="00500F56">
      <w:r w:rsidRPr="00A915F0">
        <w:rPr>
          <w:iCs/>
        </w:rPr>
        <w:t>The procurement of 3</w:t>
      </w:r>
      <w:r w:rsidRPr="00A915F0">
        <w:rPr>
          <w:iCs/>
          <w:vertAlign w:val="superscript"/>
        </w:rPr>
        <w:t>rd</w:t>
      </w:r>
      <w:r w:rsidRPr="00A915F0">
        <w:rPr>
          <w:iCs/>
        </w:rPr>
        <w:t xml:space="preserve"> party resources is also </w:t>
      </w:r>
      <w:r w:rsidR="001C2D87">
        <w:rPr>
          <w:iCs/>
        </w:rPr>
        <w:t>covered</w:t>
      </w:r>
      <w:r w:rsidR="00AA4DC3">
        <w:rPr>
          <w:iCs/>
        </w:rPr>
        <w:t xml:space="preserve"> </w:t>
      </w:r>
      <w:r>
        <w:rPr>
          <w:iCs/>
        </w:rPr>
        <w:t xml:space="preserve">and is of considerable interest to CAUL and </w:t>
      </w:r>
      <w:r w:rsidR="008242A2">
        <w:rPr>
          <w:iCs/>
        </w:rPr>
        <w:t>its</w:t>
      </w:r>
      <w:r>
        <w:rPr>
          <w:iCs/>
        </w:rPr>
        <w:t xml:space="preserve"> role in negotiating </w:t>
      </w:r>
      <w:r w:rsidR="00AA4DC3">
        <w:rPr>
          <w:iCs/>
        </w:rPr>
        <w:t>consortia deals with publishers of</w:t>
      </w:r>
      <w:r>
        <w:rPr>
          <w:iCs/>
        </w:rPr>
        <w:t xml:space="preserve"> online resources. </w:t>
      </w:r>
      <w:r>
        <w:rPr>
          <w:i/>
          <w:iCs/>
        </w:rPr>
        <w:t xml:space="preserve"> </w:t>
      </w:r>
      <w:r w:rsidR="00500F56" w:rsidRPr="00A915F0">
        <w:rPr>
          <w:iCs/>
        </w:rPr>
        <w:t>“The Web Accessibility Na</w:t>
      </w:r>
      <w:r w:rsidR="00BD60EC">
        <w:rPr>
          <w:iCs/>
        </w:rPr>
        <w:t>tional Transition Strategy (NTS)</w:t>
      </w:r>
      <w:r w:rsidR="000062F3">
        <w:rPr>
          <w:iCs/>
        </w:rPr>
        <w:t xml:space="preserve"> </w:t>
      </w:r>
      <w:r w:rsidR="00500F56" w:rsidRPr="00A915F0">
        <w:rPr>
          <w:iCs/>
        </w:rPr>
        <w:t xml:space="preserve">encourages agencies to review their procurement policies to ensure the purchase of more accessible </w:t>
      </w:r>
      <w:r w:rsidR="000062F3">
        <w:rPr>
          <w:iCs/>
        </w:rPr>
        <w:t xml:space="preserve">goods and services” </w:t>
      </w:r>
      <w:r w:rsidR="008B1996">
        <w:rPr>
          <w:iCs/>
        </w:rPr>
        <w:fldChar w:fldCharType="begin">
          <w:fldData xml:space="preserve">PEVuZE5vdGU+PENpdGU+PEF1dGhvcj5BVVNUUkFMSUFOIEdPVkVSTk1FTlQgSU5GT1JNQVRJT04g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</w:fldData>
        </w:fldChar>
      </w:r>
      <w:r w:rsidR="00573CB3">
        <w:rPr>
          <w:iCs/>
        </w:rPr>
        <w:instrText xml:space="preserve"> ADDIN EN.CITE </w:instrText>
      </w:r>
      <w:r w:rsidR="00573CB3">
        <w:rPr>
          <w:iCs/>
        </w:rPr>
        <w:fldChar w:fldCharType="begin">
          <w:fldData xml:space="preserve">PEVuZE5vdGU+PENpdGU+PEF1dGhvcj5BVVNUUkFMSUFOIEdPVkVSTk1FTlQgSU5GT1JNQVRJT04g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</w:fldData>
        </w:fldChar>
      </w:r>
      <w:r w:rsidR="00573CB3">
        <w:rPr>
          <w:iCs/>
        </w:rPr>
        <w:instrText xml:space="preserve"> ADDIN EN.CITE.DATA </w:instrText>
      </w:r>
      <w:r w:rsidR="00573CB3">
        <w:rPr>
          <w:iCs/>
        </w:rPr>
      </w:r>
      <w:r w:rsidR="00573CB3">
        <w:rPr>
          <w:iCs/>
        </w:rPr>
        <w:fldChar w:fldCharType="end"/>
      </w:r>
      <w:r w:rsidR="008B1996">
        <w:rPr>
          <w:iCs/>
        </w:rPr>
      </w:r>
      <w:r w:rsidR="008B1996">
        <w:rPr>
          <w:iCs/>
        </w:rPr>
        <w:fldChar w:fldCharType="separate"/>
      </w:r>
      <w:r w:rsidR="00573CB3">
        <w:rPr>
          <w:iCs/>
          <w:noProof/>
        </w:rPr>
        <w:t>(</w:t>
      </w:r>
      <w:hyperlink w:anchor="_ENREF_1" w:tooltip="Australian Government Information Management Office, 2010 #4" w:history="1">
        <w:r w:rsidR="007200DB">
          <w:rPr>
            <w:iCs/>
            <w:noProof/>
          </w:rPr>
          <w:t>Australian Government Information Management Office, 2010</w:t>
        </w:r>
      </w:hyperlink>
      <w:r w:rsidR="00573CB3">
        <w:rPr>
          <w:iCs/>
          <w:noProof/>
        </w:rPr>
        <w:t xml:space="preserve">, </w:t>
      </w:r>
      <w:hyperlink w:anchor="_ENREF_2" w:tooltip="Australian Government Information Management Office, 2013 #7" w:history="1">
        <w:r w:rsidR="007200DB">
          <w:rPr>
            <w:iCs/>
            <w:noProof/>
          </w:rPr>
          <w:t>2013</w:t>
        </w:r>
      </w:hyperlink>
      <w:r w:rsidR="00573CB3">
        <w:rPr>
          <w:iCs/>
          <w:noProof/>
        </w:rPr>
        <w:t>)</w:t>
      </w:r>
      <w:r w:rsidR="008B1996">
        <w:rPr>
          <w:iCs/>
        </w:rPr>
        <w:fldChar w:fldCharType="end"/>
      </w:r>
      <w:r w:rsidR="000062F3">
        <w:rPr>
          <w:iCs/>
        </w:rPr>
        <w:t>.</w:t>
      </w:r>
      <w:r w:rsidR="00500F56">
        <w:rPr>
          <w:i/>
          <w:iCs/>
        </w:rPr>
        <w:t xml:space="preserve"> </w:t>
      </w:r>
      <w:r w:rsidR="00500F56" w:rsidRPr="00500F56">
        <w:rPr>
          <w:iCs/>
        </w:rPr>
        <w:t xml:space="preserve">Importantly for our Library operations </w:t>
      </w:r>
      <w:r w:rsidR="001C2D87">
        <w:rPr>
          <w:iCs/>
        </w:rPr>
        <w:t>is a consideration for</w:t>
      </w:r>
      <w:r w:rsidR="00500F56">
        <w:rPr>
          <w:iCs/>
        </w:rPr>
        <w:t xml:space="preserve"> the implications of th</w:t>
      </w:r>
      <w:r w:rsidR="000062F3">
        <w:rPr>
          <w:iCs/>
        </w:rPr>
        <w:t>ese</w:t>
      </w:r>
      <w:r w:rsidR="00500F56">
        <w:rPr>
          <w:iCs/>
        </w:rPr>
        <w:t xml:space="preserve"> requirement</w:t>
      </w:r>
      <w:r w:rsidR="000062F3">
        <w:rPr>
          <w:iCs/>
        </w:rPr>
        <w:t>s</w:t>
      </w:r>
      <w:r w:rsidR="001C2D87">
        <w:rPr>
          <w:iCs/>
        </w:rPr>
        <w:t>,</w:t>
      </w:r>
      <w:r w:rsidR="00500F56">
        <w:t xml:space="preserve"> </w:t>
      </w:r>
      <w:r w:rsidR="001C2D87">
        <w:t>t</w:t>
      </w:r>
      <w:r w:rsidR="00500F56">
        <w:t xml:space="preserve">he NTS requires </w:t>
      </w:r>
      <w:r w:rsidR="001C2D87">
        <w:t xml:space="preserve">Libraries </w:t>
      </w:r>
      <w:r w:rsidR="00B12169">
        <w:t xml:space="preserve">to </w:t>
      </w:r>
      <w:r w:rsidR="00500F56">
        <w:t>e</w:t>
      </w:r>
      <w:r w:rsidR="00500F56" w:rsidRPr="00BA7113">
        <w:t xml:space="preserve">nsure 3rd party products and services procured </w:t>
      </w:r>
      <w:r w:rsidR="001C2D87">
        <w:t>and provided via Library</w:t>
      </w:r>
      <w:r w:rsidR="00500F56" w:rsidRPr="00BA7113">
        <w:t xml:space="preserve"> website</w:t>
      </w:r>
      <w:r w:rsidR="000062F3">
        <w:t>s</w:t>
      </w:r>
      <w:r w:rsidR="00500F56" w:rsidRPr="00BA7113">
        <w:t xml:space="preserve"> </w:t>
      </w:r>
      <w:r w:rsidR="000062F3">
        <w:t>are</w:t>
      </w:r>
      <w:r w:rsidR="00500F56" w:rsidRPr="00BA7113">
        <w:t xml:space="preserve"> accessible</w:t>
      </w:r>
      <w:r w:rsidR="00500F56">
        <w:t xml:space="preserve">. </w:t>
      </w:r>
      <w:r w:rsidR="001C2D87">
        <w:t xml:space="preserve">Libraries </w:t>
      </w:r>
      <w:r w:rsidR="00500F56">
        <w:t>should i</w:t>
      </w:r>
      <w:r w:rsidR="00500F56" w:rsidRPr="00BA7113">
        <w:t>nclude the need for an accessib</w:t>
      </w:r>
      <w:r w:rsidR="000952B2">
        <w:t xml:space="preserve">le product </w:t>
      </w:r>
      <w:r w:rsidR="001C2D87">
        <w:t xml:space="preserve">through </w:t>
      </w:r>
      <w:r w:rsidR="00573CB3">
        <w:t xml:space="preserve">procurement and licencing </w:t>
      </w:r>
      <w:r w:rsidR="000952B2">
        <w:t>documents by seeking c</w:t>
      </w:r>
      <w:r w:rsidR="00500F56" w:rsidRPr="00BA7113">
        <w:t>onformance with Web Content Accessibility Guidelines 2.0</w:t>
      </w:r>
      <w:r w:rsidR="00500F56">
        <w:t xml:space="preserve">. </w:t>
      </w:r>
      <w:r w:rsidR="00AA4DC3">
        <w:t xml:space="preserve">In addition WCAG 2.0 compliance should be recommended as part of the product assessment practice in our Libraries. </w:t>
      </w:r>
      <w:r w:rsidR="00500F56" w:rsidRPr="00BA7113">
        <w:t xml:space="preserve">If a supplier cannot </w:t>
      </w:r>
      <w:r w:rsidR="001C2D87">
        <w:t xml:space="preserve">provide an </w:t>
      </w:r>
      <w:r w:rsidR="001C2D87" w:rsidRPr="00BA7113">
        <w:t xml:space="preserve"> </w:t>
      </w:r>
      <w:r w:rsidR="00500F56" w:rsidRPr="00BA7113">
        <w:t>accessible product, alternatives</w:t>
      </w:r>
      <w:r w:rsidR="001C2D87">
        <w:t xml:space="preserve"> are required or there is a need to</w:t>
      </w:r>
      <w:r w:rsidR="00500F56" w:rsidRPr="00BA7113">
        <w:t xml:space="preserve"> ensure </w:t>
      </w:r>
      <w:r w:rsidR="001C2D87">
        <w:t xml:space="preserve">that there is adequate </w:t>
      </w:r>
      <w:r w:rsidR="001C2D87" w:rsidRPr="00BA7113">
        <w:t xml:space="preserve"> </w:t>
      </w:r>
      <w:r w:rsidR="00500F56" w:rsidRPr="00BA7113">
        <w:t xml:space="preserve">information about the link to warn of possible accessibility issues and provide alternative pathways </w:t>
      </w:r>
      <w:r w:rsidR="008B1996">
        <w:fldChar w:fldCharType="begin"/>
      </w:r>
      <w:r w:rsidR="00573CB3">
        <w:instrText xml:space="preserve"> ADDIN EN.CITE &lt;EndNote&gt;&lt;Cite&gt;&lt;Author&gt;AUSTRALIAN GOVERNMENT INFORMATION MANAGEMENT OFFICE&lt;/Author&gt;&lt;Year&gt;2010&lt;/Year&gt;&lt;RecNum&gt;4&lt;/RecNum&gt;&lt;Suffix&gt;`, p.22&lt;/Suffix&gt;&lt;DisplayText&gt;(Australian Government Information Management Office, 2010, p.22)&lt;/DisplayText&gt;&lt;record&gt;&lt;rec-number&gt;4&lt;/rec-number&gt;&lt;foreign-keys&gt;&lt;key app="EN" db-id="0a5eexazovwpxpee0zopv9tnsz5t229d5e5e" timestamp="1401248266"&gt;4&lt;/key&gt;&lt;/foreign-keys&gt;&lt;ref-type name="Government Document"&gt;46&lt;/ref-type&gt;&lt;contributors&gt;&lt;authors&gt;&lt;author&gt;Australian Government Information Management Office,&lt;/author&gt;&lt;/authors&gt;&lt;secondary-authors&gt;&lt;author&gt;Department of Finance and Deregulation,&lt;/author&gt;&lt;/secondary-authors&gt;&lt;/contributors&gt;&lt;titles&gt;&lt;title&gt;Web Accessibility National Transition Strategy. The Australian Government&amp;apos;s adoption and implimentation of Web Content Accessibility Guidlines version 2.0 (WCAG 2.0)&lt;/title&gt;&lt;/titles&gt;&lt;pages&gt;26&lt;/pages&gt;&lt;dates&gt;&lt;year&gt;2010&lt;/year&gt;&lt;/dates&gt;&lt;publisher&gt;Department of Finance and Deregulation,&amp;#xD;&lt;/publisher&gt;&lt;urls&gt;&lt;related-urls&gt;&lt;url&gt;http://www.finance.gov.au/publications/wcag-2-implementation/docs/wcag-transition-strategy.pdf&lt;/url&gt;&lt;/related-urls&gt;&lt;/urls&gt;&lt;/record&gt;&lt;/Cite&gt;&lt;/EndNote&gt;</w:instrText>
      </w:r>
      <w:r w:rsidR="008B1996">
        <w:fldChar w:fldCharType="separate"/>
      </w:r>
      <w:r w:rsidR="00573CB3">
        <w:rPr>
          <w:noProof/>
        </w:rPr>
        <w:t>(</w:t>
      </w:r>
      <w:hyperlink w:anchor="_ENREF_1" w:tooltip="Australian Government Information Management Office, 2010 #4" w:history="1">
        <w:r w:rsidR="007200DB">
          <w:rPr>
            <w:noProof/>
          </w:rPr>
          <w:t>Australian Government Information Management Office, 2010, p.22</w:t>
        </w:r>
      </w:hyperlink>
      <w:r w:rsidR="00573CB3">
        <w:rPr>
          <w:noProof/>
        </w:rPr>
        <w:t>)</w:t>
      </w:r>
      <w:r w:rsidR="008B1996">
        <w:fldChar w:fldCharType="end"/>
      </w:r>
      <w:r w:rsidR="00500F56" w:rsidRPr="00BA7113">
        <w:t>.</w:t>
      </w:r>
    </w:p>
    <w:p w:rsidR="001C2D87" w:rsidRDefault="001C2D87" w:rsidP="00A27419">
      <w:pPr>
        <w:pStyle w:val="ListParagraph"/>
        <w:ind w:left="0"/>
      </w:pPr>
    </w:p>
    <w:p w:rsidR="00494783" w:rsidRDefault="001C2D87" w:rsidP="00A27419">
      <w:pPr>
        <w:pStyle w:val="ListParagraph"/>
        <w:ind w:left="0"/>
      </w:pPr>
      <w:r>
        <w:t>The University of Western Sydney (UWS) library is currently auditing all electronic resource providers requesting an update on their WCAG AA accessibility compliance. To date the results of the 111 online providers surveyed, are as follows:</w:t>
      </w:r>
    </w:p>
    <w:p w:rsidR="001C2D87" w:rsidRDefault="001C2D87" w:rsidP="00A27419">
      <w:pPr>
        <w:pStyle w:val="ListParagraph"/>
        <w:ind w:left="0"/>
      </w:pPr>
    </w:p>
    <w:p w:rsidR="001C2D87" w:rsidRDefault="00F86365" w:rsidP="007200DB">
      <w:pPr>
        <w:pStyle w:val="ListParagraph"/>
        <w:numPr>
          <w:ilvl w:val="0"/>
          <w:numId w:val="10"/>
        </w:numPr>
      </w:pPr>
      <w:r>
        <w:t>24</w:t>
      </w:r>
      <w:r w:rsidR="001C2D87">
        <w:t>%        Yet to respond;</w:t>
      </w:r>
    </w:p>
    <w:p w:rsidR="001C2D87" w:rsidRDefault="00F86365" w:rsidP="007200DB">
      <w:pPr>
        <w:pStyle w:val="ListParagraph"/>
        <w:numPr>
          <w:ilvl w:val="0"/>
          <w:numId w:val="10"/>
        </w:numPr>
      </w:pPr>
      <w:r>
        <w:t>28</w:t>
      </w:r>
      <w:r w:rsidR="001C2D87">
        <w:t>%        Audit/Compliance in progress;</w:t>
      </w:r>
    </w:p>
    <w:p w:rsidR="001C2D87" w:rsidRDefault="0027081A" w:rsidP="007200DB">
      <w:pPr>
        <w:pStyle w:val="ListParagraph"/>
        <w:numPr>
          <w:ilvl w:val="0"/>
          <w:numId w:val="10"/>
        </w:numPr>
      </w:pPr>
      <w:r>
        <w:t>24</w:t>
      </w:r>
      <w:r w:rsidR="001C2D87">
        <w:t>%        Are seeking further information;</w:t>
      </w:r>
    </w:p>
    <w:p w:rsidR="001C2D87" w:rsidRDefault="001C2D87" w:rsidP="007200DB">
      <w:pPr>
        <w:pStyle w:val="ListParagraph"/>
        <w:numPr>
          <w:ilvl w:val="0"/>
          <w:numId w:val="10"/>
        </w:numPr>
      </w:pPr>
      <w:r>
        <w:t>1</w:t>
      </w:r>
      <w:r w:rsidR="00F86365">
        <w:t>6</w:t>
      </w:r>
      <w:r>
        <w:t>%        Indicated they comply with WCAG 2.0/Section 508 of the VPAT;</w:t>
      </w:r>
    </w:p>
    <w:p w:rsidR="001C2D87" w:rsidRDefault="001C2D87" w:rsidP="007200DB">
      <w:pPr>
        <w:pStyle w:val="ListParagraph"/>
        <w:numPr>
          <w:ilvl w:val="0"/>
          <w:numId w:val="10"/>
        </w:numPr>
      </w:pPr>
      <w:r>
        <w:t xml:space="preserve">7%        </w:t>
      </w:r>
      <w:r w:rsidR="00F86365">
        <w:t xml:space="preserve">  </w:t>
      </w:r>
      <w:proofErr w:type="gramStart"/>
      <w:r>
        <w:t>Do</w:t>
      </w:r>
      <w:proofErr w:type="gramEnd"/>
      <w:r>
        <w:t xml:space="preserve"> not comply/not interested in WCAG 2.0.</w:t>
      </w:r>
    </w:p>
    <w:p w:rsidR="004E0D4A" w:rsidRDefault="004E0D4A" w:rsidP="00A27419">
      <w:pPr>
        <w:pStyle w:val="ListParagraph"/>
        <w:ind w:left="0"/>
      </w:pPr>
      <w:r>
        <w:t xml:space="preserve">This information will be made available to all CAUL members once completed or on request. </w:t>
      </w:r>
    </w:p>
    <w:p w:rsidR="00B12169" w:rsidRDefault="00B12169">
      <w:pPr>
        <w:rPr>
          <w:b/>
        </w:rPr>
      </w:pPr>
      <w:r>
        <w:rPr>
          <w:b/>
        </w:rPr>
        <w:br w:type="page"/>
      </w:r>
    </w:p>
    <w:p w:rsidR="00DA73B3" w:rsidRDefault="00FB166F">
      <w:pPr>
        <w:rPr>
          <w:b/>
        </w:rPr>
      </w:pPr>
      <w:r w:rsidRPr="00C26E25">
        <w:rPr>
          <w:b/>
        </w:rPr>
        <w:lastRenderedPageBreak/>
        <w:t>Recommendation</w:t>
      </w:r>
      <w:r w:rsidR="00C26E25">
        <w:rPr>
          <w:b/>
        </w:rPr>
        <w:t>s</w:t>
      </w:r>
    </w:p>
    <w:p w:rsidR="00732C56" w:rsidRPr="00732C56" w:rsidRDefault="00732C56">
      <w:r w:rsidRPr="00732C56">
        <w:t>Although it is likely that Universities are not covered under the</w:t>
      </w:r>
      <w:r>
        <w:t xml:space="preserve"> NTS and no mandatory actions are required, it can be viewed as a social responsibility and good practice for our libraries to consider WCAG 2.0 compliance in the provision of our services.</w:t>
      </w:r>
      <w:r w:rsidRPr="00732C56">
        <w:t xml:space="preserve"> </w:t>
      </w:r>
    </w:p>
    <w:p w:rsidR="00FB166F" w:rsidRDefault="00FB166F">
      <w:bookmarkStart w:id="0" w:name="_GoBack"/>
      <w:r>
        <w:t>The following recommendations are made to CAUL</w:t>
      </w:r>
      <w:r w:rsidR="00C26E25">
        <w:t>.</w:t>
      </w:r>
    </w:p>
    <w:p w:rsidR="00C26E25" w:rsidRDefault="00C26E25" w:rsidP="00C26E25">
      <w:pPr>
        <w:pStyle w:val="ListParagraph"/>
        <w:numPr>
          <w:ilvl w:val="0"/>
          <w:numId w:val="9"/>
        </w:numPr>
      </w:pPr>
      <w:r>
        <w:t xml:space="preserve"> </w:t>
      </w:r>
      <w:r w:rsidR="004E0D4A">
        <w:t xml:space="preserve">That </w:t>
      </w:r>
      <w:r>
        <w:t>CAUL procurement</w:t>
      </w:r>
      <w:r w:rsidR="004E0D4A">
        <w:t>/licencing</w:t>
      </w:r>
      <w:r>
        <w:t xml:space="preserve"> procedures </w:t>
      </w:r>
      <w:r w:rsidR="001D3D04">
        <w:t>are</w:t>
      </w:r>
      <w:r>
        <w:t xml:space="preserve"> updated to include information from vendors in relation to WCAG compliance.</w:t>
      </w:r>
    </w:p>
    <w:p w:rsidR="004E0D4A" w:rsidRDefault="00C26E25" w:rsidP="00C26E25">
      <w:pPr>
        <w:pStyle w:val="ListParagraph"/>
        <w:numPr>
          <w:ilvl w:val="0"/>
          <w:numId w:val="9"/>
        </w:numPr>
      </w:pPr>
      <w:r>
        <w:t xml:space="preserve">That CAUL </w:t>
      </w:r>
      <w:r w:rsidR="004E0D4A">
        <w:t xml:space="preserve">request </w:t>
      </w:r>
      <w:r>
        <w:t>WCAG compliance</w:t>
      </w:r>
      <w:r w:rsidR="004E0D4A">
        <w:t xml:space="preserve"> information</w:t>
      </w:r>
      <w:r>
        <w:t xml:space="preserve"> when </w:t>
      </w:r>
      <w:r w:rsidR="004E0D4A">
        <w:t xml:space="preserve">presenting </w:t>
      </w:r>
      <w:r>
        <w:t xml:space="preserve">CAUL deals </w:t>
      </w:r>
      <w:r w:rsidR="004E0D4A">
        <w:t>to</w:t>
      </w:r>
      <w:r>
        <w:t xml:space="preserve"> member </w:t>
      </w:r>
    </w:p>
    <w:p w:rsidR="00C26E25" w:rsidRDefault="004E0D4A" w:rsidP="00C26E25">
      <w:pPr>
        <w:pStyle w:val="ListParagraph"/>
        <w:numPr>
          <w:ilvl w:val="0"/>
          <w:numId w:val="9"/>
        </w:numPr>
      </w:pPr>
      <w:r>
        <w:t>T</w:t>
      </w:r>
      <w:r w:rsidR="00C26E25">
        <w:t>hat data on WCAG compliance be made available via the CAUL website.</w:t>
      </w:r>
    </w:p>
    <w:p w:rsidR="008242A2" w:rsidRDefault="004E0D4A" w:rsidP="00C26E25">
      <w:pPr>
        <w:pStyle w:val="ListParagraph"/>
        <w:numPr>
          <w:ilvl w:val="0"/>
          <w:numId w:val="9"/>
        </w:numPr>
      </w:pPr>
      <w:r>
        <w:t xml:space="preserve">That </w:t>
      </w:r>
      <w:r w:rsidR="00C26E25">
        <w:t xml:space="preserve">CAUL raise awareness of WCAG requirements in relation to </w:t>
      </w:r>
      <w:r w:rsidR="001D3D04">
        <w:t>online</w:t>
      </w:r>
      <w:r w:rsidR="00C26E25">
        <w:t xml:space="preserve"> access with specific focus on the procurement</w:t>
      </w:r>
      <w:r>
        <w:t>/licencing</w:t>
      </w:r>
      <w:r w:rsidR="00C26E25">
        <w:t xml:space="preserve"> process within member Libraries.</w:t>
      </w:r>
    </w:p>
    <w:bookmarkEnd w:id="0"/>
    <w:p w:rsidR="00B12169" w:rsidRDefault="00B12169" w:rsidP="00B12169"/>
    <w:p w:rsidR="00B12169" w:rsidRDefault="00B12169" w:rsidP="00B12169"/>
    <w:p w:rsidR="00B12169" w:rsidRDefault="00B12169" w:rsidP="00B12169"/>
    <w:p w:rsidR="00B12169" w:rsidRDefault="00B12169" w:rsidP="00B12169"/>
    <w:p w:rsidR="00B12169" w:rsidRDefault="00B12169" w:rsidP="00B12169">
      <w:r>
        <w:t>David Howard</w:t>
      </w:r>
    </w:p>
    <w:p w:rsidR="00B12169" w:rsidRDefault="00B12169" w:rsidP="00B12169">
      <w:r>
        <w:t>University Librarian</w:t>
      </w:r>
    </w:p>
    <w:p w:rsidR="00B12169" w:rsidRDefault="00B12169" w:rsidP="00B12169">
      <w:r>
        <w:t>Edith Cowan University</w:t>
      </w:r>
    </w:p>
    <w:p w:rsidR="008858B4" w:rsidRDefault="008858B4" w:rsidP="00B12169">
      <w:r>
        <w:t>Updated 27 August 2014</w:t>
      </w:r>
    </w:p>
    <w:p w:rsidR="008242A2" w:rsidRDefault="008242A2" w:rsidP="001D3D04">
      <w:pPr>
        <w:pStyle w:val="ListParagraph"/>
      </w:pPr>
    </w:p>
    <w:p w:rsidR="007200DB" w:rsidRDefault="007200DB">
      <w:pPr>
        <w:sectPr w:rsidR="007200DB">
          <w:footerReference w:type="default" r:id="rId8"/>
          <w:pgSz w:w="11906" w:h="16838"/>
          <w:pgMar w:top="1440" w:right="1440" w:bottom="1440" w:left="1440" w:header="708" w:footer="708" w:gutter="0"/>
          <w:cols w:space="708"/>
          <w:docGrid w:linePitch="360"/>
        </w:sectPr>
      </w:pPr>
    </w:p>
    <w:p w:rsidR="00B12169" w:rsidRPr="00B12169" w:rsidRDefault="00B12169">
      <w:pPr>
        <w:rPr>
          <w:b/>
        </w:rPr>
      </w:pPr>
      <w:r w:rsidRPr="00B12169">
        <w:rPr>
          <w:b/>
        </w:rPr>
        <w:lastRenderedPageBreak/>
        <w:t xml:space="preserve">Appendix A </w:t>
      </w:r>
    </w:p>
    <w:p w:rsidR="007200DB" w:rsidRDefault="007200DB">
      <w:r>
        <w:t xml:space="preserve">Fig 1.0 WCAG National Transition Strategy </w:t>
      </w:r>
    </w:p>
    <w:p w:rsidR="007200DB" w:rsidRDefault="007200DB">
      <w:r>
        <w:rPr>
          <w:noProof/>
          <w:lang w:eastAsia="en-AU"/>
        </w:rPr>
        <w:drawing>
          <wp:inline distT="0" distB="0" distL="0" distR="0" wp14:anchorId="5C2BADED" wp14:editId="12BC512A">
            <wp:extent cx="8324850" cy="473797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WCAG2.gif"/>
                    <pic:cNvPicPr/>
                  </pic:nvPicPr>
                  <pic:blipFill>
                    <a:blip r:embed="rId9">
                      <a:extLst>
                        <a:ext uri="{28A0092B-C50C-407E-A947-70E740481C1C}">
                          <a14:useLocalDpi xmlns:a14="http://schemas.microsoft.com/office/drawing/2010/main" val="0"/>
                        </a:ext>
                      </a:extLst>
                    </a:blip>
                    <a:stretch>
                      <a:fillRect/>
                    </a:stretch>
                  </pic:blipFill>
                  <pic:spPr>
                    <a:xfrm>
                      <a:off x="0" y="0"/>
                      <a:ext cx="8320677" cy="4735597"/>
                    </a:xfrm>
                    <a:prstGeom prst="rect">
                      <a:avLst/>
                    </a:prstGeom>
                  </pic:spPr>
                </pic:pic>
              </a:graphicData>
            </a:graphic>
          </wp:inline>
        </w:drawing>
      </w:r>
    </w:p>
    <w:p w:rsidR="007200DB" w:rsidRDefault="007200DB" w:rsidP="007200DB">
      <w:pPr>
        <w:jc w:val="right"/>
        <w:sectPr w:rsidR="007200DB" w:rsidSect="007200DB">
          <w:pgSz w:w="16838" w:h="11906" w:orient="landscape"/>
          <w:pgMar w:top="1440" w:right="1440" w:bottom="1440" w:left="1440" w:header="708" w:footer="708" w:gutter="0"/>
          <w:cols w:space="708"/>
          <w:docGrid w:linePitch="360"/>
        </w:sectPr>
      </w:pPr>
      <w:r>
        <w:rPr>
          <w:noProof/>
        </w:rPr>
        <w:t>(</w:t>
      </w:r>
      <w:hyperlink w:anchor="_ENREF_1" w:tooltip="Australian Government Information Management Office, 2010 #4" w:history="1">
        <w:r>
          <w:rPr>
            <w:noProof/>
          </w:rPr>
          <w:t>Australian Government Information Management Office, 2010, p.25</w:t>
        </w:r>
      </w:hyperlink>
    </w:p>
    <w:p w:rsidR="00B12169" w:rsidRDefault="00B12169" w:rsidP="007200DB">
      <w:pPr>
        <w:rPr>
          <w:b/>
        </w:rPr>
      </w:pPr>
      <w:r>
        <w:rPr>
          <w:b/>
        </w:rPr>
        <w:lastRenderedPageBreak/>
        <w:t xml:space="preserve">Appendix A </w:t>
      </w:r>
    </w:p>
    <w:p w:rsidR="007200DB" w:rsidRPr="00A328D7" w:rsidRDefault="007200DB" w:rsidP="007200DB">
      <w:pPr>
        <w:rPr>
          <w:b/>
        </w:rPr>
      </w:pPr>
      <w:r>
        <w:rPr>
          <w:b/>
        </w:rPr>
        <w:t xml:space="preserve">Fig 2. </w:t>
      </w:r>
      <w:r w:rsidRPr="00A328D7">
        <w:rPr>
          <w:b/>
        </w:rPr>
        <w:t>Compliance Targets</w:t>
      </w:r>
    </w:p>
    <w:tbl>
      <w:tblPr>
        <w:tblStyle w:val="LightGrid-Accent1"/>
        <w:tblW w:w="0" w:type="auto"/>
        <w:tblLook w:val="04A0" w:firstRow="1" w:lastRow="0" w:firstColumn="1" w:lastColumn="0" w:noHBand="0" w:noVBand="1"/>
      </w:tblPr>
      <w:tblGrid>
        <w:gridCol w:w="2251"/>
        <w:gridCol w:w="2261"/>
        <w:gridCol w:w="2271"/>
        <w:gridCol w:w="2223"/>
      </w:tblGrid>
      <w:tr w:rsidR="007200DB" w:rsidRPr="00C20032" w:rsidTr="006C5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pPr>
              <w:jc w:val="center"/>
            </w:pPr>
            <w:r>
              <w:t>State / Territory</w:t>
            </w:r>
          </w:p>
        </w:tc>
        <w:tc>
          <w:tcPr>
            <w:tcW w:w="2310" w:type="dxa"/>
          </w:tcPr>
          <w:p w:rsidR="007200DB" w:rsidRPr="00C20032" w:rsidRDefault="007200DB" w:rsidP="006C5A9D">
            <w:pPr>
              <w:jc w:val="center"/>
              <w:cnfStyle w:val="100000000000" w:firstRow="1" w:lastRow="0" w:firstColumn="0" w:lastColumn="0" w:oddVBand="0" w:evenVBand="0" w:oddHBand="0" w:evenHBand="0" w:firstRowFirstColumn="0" w:firstRowLastColumn="0" w:lastRowFirstColumn="0" w:lastRowLastColumn="0"/>
            </w:pPr>
            <w:r w:rsidRPr="00C20032">
              <w:t>Compliance Level</w:t>
            </w:r>
          </w:p>
        </w:tc>
        <w:tc>
          <w:tcPr>
            <w:tcW w:w="2311" w:type="dxa"/>
          </w:tcPr>
          <w:p w:rsidR="007200DB" w:rsidRPr="00C20032" w:rsidRDefault="007200DB" w:rsidP="006C5A9D">
            <w:pPr>
              <w:jc w:val="center"/>
              <w:cnfStyle w:val="100000000000" w:firstRow="1" w:lastRow="0" w:firstColumn="0" w:lastColumn="0" w:oddVBand="0" w:evenVBand="0" w:oddHBand="0" w:evenHBand="0" w:firstRowFirstColumn="0" w:firstRowLastColumn="0" w:lastRowFirstColumn="0" w:lastRowLastColumn="0"/>
            </w:pPr>
            <w:r>
              <w:t>Requirement</w:t>
            </w:r>
          </w:p>
        </w:tc>
        <w:tc>
          <w:tcPr>
            <w:tcW w:w="2311" w:type="dxa"/>
          </w:tcPr>
          <w:p w:rsidR="007200DB" w:rsidRPr="00C20032" w:rsidRDefault="007200DB" w:rsidP="006C5A9D">
            <w:pPr>
              <w:jc w:val="center"/>
              <w:cnfStyle w:val="100000000000" w:firstRow="1" w:lastRow="0" w:firstColumn="0" w:lastColumn="0" w:oddVBand="0" w:evenVBand="0" w:oddHBand="0" w:evenHBand="0" w:firstRowFirstColumn="0" w:firstRowLastColumn="0" w:lastRowFirstColumn="0" w:lastRowLastColumn="0"/>
            </w:pPr>
            <w:r>
              <w:t>Due Date</w:t>
            </w: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r>
              <w:t>Vic, ACT,NSW ,</w:t>
            </w:r>
            <w:r w:rsidRPr="00FB166F">
              <w:t xml:space="preserve"> NT</w:t>
            </w:r>
          </w:p>
        </w:tc>
        <w:tc>
          <w:tcPr>
            <w:tcW w:w="2310"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t>WCAG (A)</w:t>
            </w: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t>Mandatory</w:t>
            </w: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t>31 Dec 2012</w:t>
            </w: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t>WCAG (AA)</w:t>
            </w: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rsidRPr="00FB166F">
              <w:t>Mandatory</w:t>
            </w: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t>31 Dec 2014</w:t>
            </w: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r>
              <w:t>QLD</w:t>
            </w:r>
          </w:p>
        </w:tc>
        <w:tc>
          <w:tcPr>
            <w:tcW w:w="2310" w:type="dxa"/>
          </w:tcPr>
          <w:p w:rsidR="007200DB" w:rsidRPr="00B17C9D" w:rsidRDefault="007200DB" w:rsidP="006C5A9D">
            <w:pPr>
              <w:cnfStyle w:val="000000100000" w:firstRow="0" w:lastRow="0" w:firstColumn="0" w:lastColumn="0" w:oddVBand="0" w:evenVBand="0" w:oddHBand="1" w:evenHBand="0" w:firstRowFirstColumn="0" w:firstRowLastColumn="0" w:lastRowFirstColumn="0" w:lastRowLastColumn="0"/>
            </w:pPr>
            <w:r w:rsidRPr="00B17C9D">
              <w:t>WCAG (A)</w:t>
            </w:r>
          </w:p>
        </w:tc>
        <w:tc>
          <w:tcPr>
            <w:tcW w:w="2311" w:type="dxa"/>
          </w:tcPr>
          <w:p w:rsidR="007200DB" w:rsidRPr="00B17C9D" w:rsidRDefault="007200DB" w:rsidP="006C5A9D">
            <w:pPr>
              <w:cnfStyle w:val="000000100000" w:firstRow="0" w:lastRow="0" w:firstColumn="0" w:lastColumn="0" w:oddVBand="0" w:evenVBand="0" w:oddHBand="1" w:evenHBand="0" w:firstRowFirstColumn="0" w:firstRowLastColumn="0" w:lastRowFirstColumn="0" w:lastRowLastColumn="0"/>
            </w:pPr>
            <w:r w:rsidRPr="00B17C9D">
              <w:t>Mandatory</w:t>
            </w:r>
          </w:p>
        </w:tc>
        <w:tc>
          <w:tcPr>
            <w:tcW w:w="2311" w:type="dxa"/>
          </w:tcPr>
          <w:p w:rsidR="007200DB" w:rsidRPr="00B17C9D" w:rsidRDefault="007200DB" w:rsidP="006C5A9D">
            <w:pPr>
              <w:cnfStyle w:val="000000100000" w:firstRow="0" w:lastRow="0" w:firstColumn="0" w:lastColumn="0" w:oddVBand="0" w:evenVBand="0" w:oddHBand="1" w:evenHBand="0" w:firstRowFirstColumn="0" w:firstRowLastColumn="0" w:lastRowFirstColumn="0" w:lastRowLastColumn="0"/>
            </w:pPr>
            <w:r w:rsidRPr="00B17C9D">
              <w:t>31 Dec 2012</w:t>
            </w: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FB166F" w:rsidRDefault="007200DB" w:rsidP="006C5A9D">
            <w:pPr>
              <w:rPr>
                <w:sz w:val="18"/>
                <w:szCs w:val="18"/>
              </w:rPr>
            </w:pPr>
            <w:r w:rsidRPr="00FB166F">
              <w:rPr>
                <w:sz w:val="18"/>
                <w:szCs w:val="18"/>
              </w:rPr>
              <w:t>*Excludes Guideline 1.2</w:t>
            </w:r>
          </w:p>
        </w:tc>
        <w:tc>
          <w:tcPr>
            <w:tcW w:w="2310" w:type="dxa"/>
          </w:tcPr>
          <w:p w:rsidR="007200DB" w:rsidRPr="00B17C9D" w:rsidRDefault="007200DB" w:rsidP="006C5A9D">
            <w:pPr>
              <w:cnfStyle w:val="000000010000" w:firstRow="0" w:lastRow="0" w:firstColumn="0" w:lastColumn="0" w:oddVBand="0" w:evenVBand="0" w:oddHBand="0" w:evenHBand="1" w:firstRowFirstColumn="0" w:firstRowLastColumn="0" w:lastRowFirstColumn="0" w:lastRowLastColumn="0"/>
            </w:pPr>
            <w:r w:rsidRPr="00B17C9D">
              <w:t>WCAG (AA)</w:t>
            </w:r>
            <w:r>
              <w:t>*</w:t>
            </w:r>
          </w:p>
        </w:tc>
        <w:tc>
          <w:tcPr>
            <w:tcW w:w="2311" w:type="dxa"/>
          </w:tcPr>
          <w:p w:rsidR="007200DB" w:rsidRPr="00B17C9D" w:rsidRDefault="007200DB" w:rsidP="006C5A9D">
            <w:pPr>
              <w:cnfStyle w:val="000000010000" w:firstRow="0" w:lastRow="0" w:firstColumn="0" w:lastColumn="0" w:oddVBand="0" w:evenVBand="0" w:oddHBand="0" w:evenHBand="1" w:firstRowFirstColumn="0" w:firstRowLastColumn="0" w:lastRowFirstColumn="0" w:lastRowLastColumn="0"/>
            </w:pPr>
            <w:r w:rsidRPr="00B17C9D">
              <w:t>Mandatory</w:t>
            </w:r>
          </w:p>
        </w:tc>
        <w:tc>
          <w:tcPr>
            <w:tcW w:w="2311" w:type="dxa"/>
          </w:tcPr>
          <w:p w:rsidR="007200DB" w:rsidRDefault="007200DB" w:rsidP="006C5A9D">
            <w:pPr>
              <w:cnfStyle w:val="000000010000" w:firstRow="0" w:lastRow="0" w:firstColumn="0" w:lastColumn="0" w:oddVBand="0" w:evenVBand="0" w:oddHBand="0" w:evenHBand="1" w:firstRowFirstColumn="0" w:firstRowLastColumn="0" w:lastRowFirstColumn="0" w:lastRowLastColumn="0"/>
            </w:pPr>
            <w:r w:rsidRPr="00B17C9D">
              <w:t>31 Dec 2014</w:t>
            </w: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r>
              <w:t>SA</w:t>
            </w:r>
          </w:p>
        </w:tc>
        <w:tc>
          <w:tcPr>
            <w:tcW w:w="2310"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rsidRPr="00FB166F">
              <w:t>No specific dates set</w:t>
            </w: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r>
              <w:t>WA</w:t>
            </w:r>
          </w:p>
        </w:tc>
        <w:tc>
          <w:tcPr>
            <w:tcW w:w="2310"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t>WCAG (A)</w:t>
            </w:r>
          </w:p>
        </w:tc>
        <w:tc>
          <w:tcPr>
            <w:tcW w:w="2311" w:type="dxa"/>
          </w:tcPr>
          <w:p w:rsidR="007200DB" w:rsidRPr="00D125D9" w:rsidRDefault="007200DB" w:rsidP="006C5A9D">
            <w:pPr>
              <w:cnfStyle w:val="000000010000" w:firstRow="0" w:lastRow="0" w:firstColumn="0" w:lastColumn="0" w:oddVBand="0" w:evenVBand="0" w:oddHBand="0" w:evenHBand="1" w:firstRowFirstColumn="0" w:firstRowLastColumn="0" w:lastRowFirstColumn="0" w:lastRowLastColumn="0"/>
            </w:pPr>
            <w:r w:rsidRPr="00D125D9">
              <w:t>Mandatory</w:t>
            </w:r>
          </w:p>
        </w:tc>
        <w:tc>
          <w:tcPr>
            <w:tcW w:w="2311" w:type="dxa"/>
          </w:tcPr>
          <w:p w:rsidR="007200DB" w:rsidRDefault="007200DB" w:rsidP="006C5A9D">
            <w:pPr>
              <w:cnfStyle w:val="000000010000" w:firstRow="0" w:lastRow="0" w:firstColumn="0" w:lastColumn="0" w:oddVBand="0" w:evenVBand="0" w:oddHBand="0" w:evenHBand="1" w:firstRowFirstColumn="0" w:firstRowLastColumn="0" w:lastRowFirstColumn="0" w:lastRowLastColumn="0"/>
            </w:pPr>
            <w:r>
              <w:t>31 Dec 2013</w:t>
            </w: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rsidRPr="00FB166F">
              <w:t>WCAG (AA)</w:t>
            </w: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t>Preferred</w:t>
            </w:r>
          </w:p>
        </w:tc>
        <w:tc>
          <w:tcPr>
            <w:tcW w:w="2311" w:type="dxa"/>
          </w:tcPr>
          <w:p w:rsidR="007200DB" w:rsidRPr="00C20032" w:rsidRDefault="007200DB" w:rsidP="006C5A9D">
            <w:pPr>
              <w:cnfStyle w:val="000000100000" w:firstRow="0" w:lastRow="0" w:firstColumn="0" w:lastColumn="0" w:oddVBand="0" w:evenVBand="0" w:oddHBand="1" w:evenHBand="0" w:firstRowFirstColumn="0" w:firstRowLastColumn="0" w:lastRowFirstColumn="0" w:lastRowLastColumn="0"/>
            </w:pPr>
            <w:r w:rsidRPr="00FB166F">
              <w:t>31 Dec 2013</w:t>
            </w: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p>
        </w:tc>
      </w:tr>
      <w:tr w:rsidR="007200DB" w:rsidRPr="00C20032" w:rsidTr="006C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r>
              <w:t>Tasmania</w:t>
            </w:r>
          </w:p>
        </w:tc>
        <w:tc>
          <w:tcPr>
            <w:tcW w:w="2310" w:type="dxa"/>
          </w:tcPr>
          <w:p w:rsidR="007200DB" w:rsidRPr="00E04834" w:rsidRDefault="007200DB" w:rsidP="006C5A9D">
            <w:pPr>
              <w:cnfStyle w:val="000000100000" w:firstRow="0" w:lastRow="0" w:firstColumn="0" w:lastColumn="0" w:oddVBand="0" w:evenVBand="0" w:oddHBand="1" w:evenHBand="0" w:firstRowFirstColumn="0" w:firstRowLastColumn="0" w:lastRowFirstColumn="0" w:lastRowLastColumn="0"/>
            </w:pPr>
            <w:r w:rsidRPr="00E04834">
              <w:t>WCAG (A)</w:t>
            </w:r>
          </w:p>
        </w:tc>
        <w:tc>
          <w:tcPr>
            <w:tcW w:w="2311" w:type="dxa"/>
          </w:tcPr>
          <w:p w:rsidR="007200DB" w:rsidRPr="00425337" w:rsidRDefault="007200DB" w:rsidP="006C5A9D">
            <w:pPr>
              <w:cnfStyle w:val="000000100000" w:firstRow="0" w:lastRow="0" w:firstColumn="0" w:lastColumn="0" w:oddVBand="0" w:evenVBand="0" w:oddHBand="1" w:evenHBand="0" w:firstRowFirstColumn="0" w:firstRowLastColumn="0" w:lastRowFirstColumn="0" w:lastRowLastColumn="0"/>
            </w:pPr>
            <w:r w:rsidRPr="00425337">
              <w:t>Mandatory</w:t>
            </w:r>
          </w:p>
        </w:tc>
        <w:tc>
          <w:tcPr>
            <w:tcW w:w="2311" w:type="dxa"/>
          </w:tcPr>
          <w:p w:rsidR="007200DB" w:rsidRDefault="007200DB" w:rsidP="006C5A9D">
            <w:pPr>
              <w:cnfStyle w:val="000000100000" w:firstRow="0" w:lastRow="0" w:firstColumn="0" w:lastColumn="0" w:oddVBand="0" w:evenVBand="0" w:oddHBand="1" w:evenHBand="0" w:firstRowFirstColumn="0" w:firstRowLastColumn="0" w:lastRowFirstColumn="0" w:lastRowLastColumn="0"/>
            </w:pPr>
            <w:r w:rsidRPr="00425337">
              <w:t>31 Dec 2012</w:t>
            </w:r>
          </w:p>
        </w:tc>
      </w:tr>
      <w:tr w:rsidR="007200DB" w:rsidRPr="00C20032" w:rsidTr="006C5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200DB" w:rsidRPr="00C20032" w:rsidRDefault="007200DB" w:rsidP="006C5A9D"/>
        </w:tc>
        <w:tc>
          <w:tcPr>
            <w:tcW w:w="2310" w:type="dxa"/>
          </w:tcPr>
          <w:p w:rsidR="007200DB" w:rsidRDefault="007200DB" w:rsidP="006C5A9D">
            <w:pPr>
              <w:cnfStyle w:val="000000010000" w:firstRow="0" w:lastRow="0" w:firstColumn="0" w:lastColumn="0" w:oddVBand="0" w:evenVBand="0" w:oddHBand="0" w:evenHBand="1" w:firstRowFirstColumn="0" w:firstRowLastColumn="0" w:lastRowFirstColumn="0" w:lastRowLastColumn="0"/>
            </w:pPr>
            <w:r w:rsidRPr="00E04834">
              <w:t>WCAG (AA)</w:t>
            </w: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t>Recommended</w:t>
            </w:r>
          </w:p>
        </w:tc>
        <w:tc>
          <w:tcPr>
            <w:tcW w:w="2311" w:type="dxa"/>
          </w:tcPr>
          <w:p w:rsidR="007200DB" w:rsidRPr="00C20032" w:rsidRDefault="007200DB" w:rsidP="006C5A9D">
            <w:pPr>
              <w:cnfStyle w:val="000000010000" w:firstRow="0" w:lastRow="0" w:firstColumn="0" w:lastColumn="0" w:oddVBand="0" w:evenVBand="0" w:oddHBand="0" w:evenHBand="1" w:firstRowFirstColumn="0" w:firstRowLastColumn="0" w:lastRowFirstColumn="0" w:lastRowLastColumn="0"/>
            </w:pPr>
            <w:r w:rsidRPr="00FB166F">
              <w:t>31 Dec 2014</w:t>
            </w:r>
          </w:p>
        </w:tc>
      </w:tr>
    </w:tbl>
    <w:p w:rsidR="007200DB" w:rsidRPr="00BA7113" w:rsidRDefault="007200DB" w:rsidP="007200DB">
      <w:pPr>
        <w:jc w:val="right"/>
      </w:pPr>
      <w:r>
        <w:fldChar w:fldCharType="begin"/>
      </w:r>
      <w:r>
        <w:instrText xml:space="preserve"> ADDIN EN.CITE &lt;EndNote&gt;&lt;Cite&gt;&lt;Author&gt;Media Access Australia&lt;/Author&gt;&lt;Year&gt;2012&lt;/Year&gt;&lt;RecNum&gt;6&lt;/RecNum&gt;&lt;DisplayText&gt;(Media Access Australia, 2012)&lt;/DisplayText&gt;&lt;record&gt;&lt;rec-number&gt;6&lt;/rec-number&gt;&lt;foreign-keys&gt;&lt;key app="EN" db-id="0a5eexazovwpxpee0zopv9tnsz5t229d5e5e" timestamp="1401250772"&gt;6&lt;/key&gt;&lt;/foreign-keys&gt;&lt;ref-type name="Web Page"&gt;12&lt;/ref-type&gt;&lt;contributors&gt;&lt;authors&gt;&lt;author&gt;Media Access Australia,&lt;/author&gt;&lt;/authors&gt;&lt;/contributors&gt;&lt;titles&gt;&lt;title&gt;State and Territory Adoption of WCAG 2.0&lt;/title&gt;&lt;/titles&gt;&lt;volume&gt;2014&lt;/volume&gt;&lt;number&gt;27 May&lt;/number&gt;&lt;dates&gt;&lt;year&gt;2012&lt;/year&gt;&lt;/dates&gt;&lt;publisher&gt;Media Access Australia&lt;/publisher&gt;&lt;urls&gt;&lt;related-urls&gt;&lt;url&gt;http://www.mediaaccess.org.au/research-policy/australian-governments-access-policies/state-and-territory-adoption-of-wcag-20&lt;/url&gt;&lt;/related-urls&gt;&lt;/urls&gt;&lt;/record&gt;&lt;/Cite&gt;&lt;/EndNote&gt;</w:instrText>
      </w:r>
      <w:r>
        <w:fldChar w:fldCharType="separate"/>
      </w:r>
      <w:r>
        <w:rPr>
          <w:noProof/>
        </w:rPr>
        <w:t>(</w:t>
      </w:r>
      <w:hyperlink w:anchor="_ENREF_6" w:tooltip="Media Access Australia, 2012 #6" w:history="1">
        <w:r>
          <w:rPr>
            <w:noProof/>
          </w:rPr>
          <w:t>Media Access Australia, 2012</w:t>
        </w:r>
      </w:hyperlink>
      <w:r>
        <w:rPr>
          <w:noProof/>
        </w:rPr>
        <w:t>)</w:t>
      </w:r>
      <w:r>
        <w:fldChar w:fldCharType="end"/>
      </w:r>
    </w:p>
    <w:p w:rsidR="00B12169" w:rsidRDefault="00B12169">
      <w:pPr>
        <w:rPr>
          <w:rFonts w:ascii="Calibri" w:hAnsi="Calibri" w:cs="Calibri"/>
          <w:b/>
          <w:noProof/>
          <w:lang w:val="en-US"/>
        </w:rPr>
      </w:pPr>
      <w:r>
        <w:rPr>
          <w:b/>
        </w:rPr>
        <w:br w:type="page"/>
      </w:r>
    </w:p>
    <w:p w:rsidR="008242A2" w:rsidRPr="008242A2" w:rsidRDefault="008242A2" w:rsidP="008242A2">
      <w:pPr>
        <w:pStyle w:val="EndNoteBibliography"/>
        <w:ind w:left="720" w:hanging="720"/>
        <w:rPr>
          <w:b/>
        </w:rPr>
      </w:pPr>
      <w:r w:rsidRPr="008242A2">
        <w:rPr>
          <w:b/>
        </w:rPr>
        <w:lastRenderedPageBreak/>
        <w:t>Bibliography</w:t>
      </w:r>
    </w:p>
    <w:p w:rsidR="008B1996" w:rsidRDefault="008B1996" w:rsidP="008242A2"/>
    <w:p w:rsidR="008B1996" w:rsidRDefault="008B1996" w:rsidP="008242A2"/>
    <w:p w:rsidR="007200DB" w:rsidRPr="007200DB" w:rsidRDefault="008B1996" w:rsidP="007200DB">
      <w:pPr>
        <w:pStyle w:val="EndNoteBibliography"/>
        <w:ind w:left="720" w:hanging="720"/>
      </w:pPr>
      <w:r>
        <w:fldChar w:fldCharType="begin"/>
      </w:r>
      <w:r>
        <w:instrText xml:space="preserve"> ADDIN EN.REFLIST </w:instrText>
      </w:r>
      <w:r>
        <w:fldChar w:fldCharType="separate"/>
      </w:r>
      <w:bookmarkStart w:id="1" w:name="_ENREF_1"/>
      <w:r w:rsidR="007200DB" w:rsidRPr="007200DB">
        <w:t xml:space="preserve">Australian Government Information Management Office. (2010). </w:t>
      </w:r>
      <w:r w:rsidR="007200DB" w:rsidRPr="007200DB">
        <w:rPr>
          <w:i/>
        </w:rPr>
        <w:t>Web Accessibility National Transition Strategy. The Australian Government's adoption and implimentation of Web Content Accessibility Guidlines version 2.0 (WCAG 2.0)</w:t>
      </w:r>
      <w:r w:rsidR="007200DB" w:rsidRPr="007200DB">
        <w:t>. Department of Finance and Deregulation,</w:t>
      </w:r>
    </w:p>
    <w:p w:rsidR="007200DB" w:rsidRPr="007200DB" w:rsidRDefault="007200DB" w:rsidP="007200DB">
      <w:pPr>
        <w:pStyle w:val="EndNoteBibliography"/>
        <w:spacing w:after="0"/>
        <w:ind w:left="720" w:hanging="720"/>
      </w:pPr>
      <w:r w:rsidRPr="007200DB">
        <w:t xml:space="preserve"> Retrieved from </w:t>
      </w:r>
      <w:hyperlink r:id="rId10" w:history="1">
        <w:r w:rsidRPr="007200DB">
          <w:rPr>
            <w:rStyle w:val="Hyperlink"/>
          </w:rPr>
          <w:t>http://www.finance.gov.au/publications/wcag-2-implementation/docs/wcag-transition-strategy.pdf</w:t>
        </w:r>
      </w:hyperlink>
      <w:r w:rsidRPr="007200DB">
        <w:t>.</w:t>
      </w:r>
      <w:bookmarkEnd w:id="1"/>
    </w:p>
    <w:p w:rsidR="007200DB" w:rsidRPr="007200DB" w:rsidRDefault="007200DB" w:rsidP="007200DB">
      <w:pPr>
        <w:pStyle w:val="EndNoteBibliography"/>
        <w:spacing w:after="0"/>
        <w:ind w:left="720" w:hanging="720"/>
      </w:pPr>
      <w:bookmarkStart w:id="2" w:name="_ENREF_2"/>
      <w:r w:rsidRPr="007200DB">
        <w:t xml:space="preserve">Australian Government Information Management Office. (2013). </w:t>
      </w:r>
      <w:r w:rsidRPr="007200DB">
        <w:rPr>
          <w:i/>
        </w:rPr>
        <w:t>Accessibility for Web related ICT Procurments: Specifying accessibility requirements in procurement documentation - February 2013</w:t>
      </w:r>
      <w:r w:rsidRPr="007200DB">
        <w:t>. Department of Finance and Deregulation Retrieved from https://webguide.govspace.gov.au/files/2014/03/Accessibility-for-Web-related-ICT-Procurement.pdf.</w:t>
      </w:r>
      <w:bookmarkEnd w:id="2"/>
    </w:p>
    <w:p w:rsidR="007200DB" w:rsidRPr="007200DB" w:rsidRDefault="007200DB" w:rsidP="007200DB">
      <w:pPr>
        <w:pStyle w:val="EndNoteBibliography"/>
        <w:spacing w:after="0"/>
        <w:ind w:left="720" w:hanging="720"/>
      </w:pPr>
      <w:bookmarkStart w:id="3" w:name="_ENREF_3"/>
      <w:r w:rsidRPr="007200DB">
        <w:t xml:space="preserve">Australian Human Rights Commision. (2010). </w:t>
      </w:r>
      <w:r w:rsidRPr="007200DB">
        <w:rPr>
          <w:i/>
        </w:rPr>
        <w:t>World Wide Web Access: Disability Discrimination Act Advisory Notes Version 4.0</w:t>
      </w:r>
      <w:r w:rsidRPr="007200DB">
        <w:t xml:space="preserve">. Australian Human Rights Commission Retrieved from </w:t>
      </w:r>
      <w:hyperlink r:id="rId11" w:history="1">
        <w:r w:rsidRPr="007200DB">
          <w:rPr>
            <w:rStyle w:val="Hyperlink"/>
          </w:rPr>
          <w:t>http://www.humanrights.gov.au/our-work/disability-rights/standards/world-wide-web-access-disability-discrimination-act-advisory</w:t>
        </w:r>
      </w:hyperlink>
      <w:r w:rsidRPr="007200DB">
        <w:t>.</w:t>
      </w:r>
      <w:bookmarkEnd w:id="3"/>
    </w:p>
    <w:p w:rsidR="007200DB" w:rsidRPr="007200DB" w:rsidRDefault="007200DB" w:rsidP="007200DB">
      <w:pPr>
        <w:pStyle w:val="EndNoteBibliography"/>
        <w:spacing w:after="0"/>
        <w:ind w:left="720" w:hanging="720"/>
      </w:pPr>
      <w:bookmarkStart w:id="4" w:name="_ENREF_4"/>
      <w:r w:rsidRPr="007200DB">
        <w:t xml:space="preserve">Department of Finance. (2012). The Australian Government Web Guide.   Retrieved 27 May, 2014, from </w:t>
      </w:r>
      <w:hyperlink r:id="rId12" w:history="1">
        <w:r w:rsidRPr="007200DB">
          <w:rPr>
            <w:rStyle w:val="Hyperlink"/>
          </w:rPr>
          <w:t>http://webguide.gov.au/</w:t>
        </w:r>
        <w:bookmarkEnd w:id="4"/>
      </w:hyperlink>
    </w:p>
    <w:p w:rsidR="007200DB" w:rsidRPr="007200DB" w:rsidRDefault="007200DB" w:rsidP="007200DB">
      <w:pPr>
        <w:pStyle w:val="EndNoteBibliography"/>
        <w:spacing w:after="0"/>
        <w:ind w:left="720" w:hanging="720"/>
      </w:pPr>
      <w:bookmarkStart w:id="5" w:name="_ENREF_5"/>
      <w:r w:rsidRPr="007200DB">
        <w:t xml:space="preserve">International Organization for Standardization. (2012). Information Technology - W3C Web Content Accessibility Guidlines (WCAG) 2.0 </w:t>
      </w:r>
      <w:r w:rsidRPr="007200DB">
        <w:rPr>
          <w:i/>
        </w:rPr>
        <w:t>ISO/IEC 40500</w:t>
      </w:r>
      <w:r w:rsidRPr="007200DB">
        <w:t>. Geneva Switzerland: International Organization for Standardization.</w:t>
      </w:r>
      <w:bookmarkEnd w:id="5"/>
    </w:p>
    <w:p w:rsidR="007200DB" w:rsidRPr="007200DB" w:rsidRDefault="007200DB" w:rsidP="007200DB">
      <w:pPr>
        <w:pStyle w:val="EndNoteBibliography"/>
        <w:ind w:left="720" w:hanging="720"/>
      </w:pPr>
      <w:bookmarkStart w:id="6" w:name="_ENREF_6"/>
      <w:r w:rsidRPr="007200DB">
        <w:t xml:space="preserve">Media Access Australia. (2012). State and Territory Adoption of WCAG 2.0.   Retrieved 27 May, 2014, from </w:t>
      </w:r>
      <w:hyperlink r:id="rId13" w:history="1">
        <w:r w:rsidRPr="007200DB">
          <w:rPr>
            <w:rStyle w:val="Hyperlink"/>
          </w:rPr>
          <w:t>http://www.mediaaccess.org.au/research-policy/australian-governments-access-policies/state-and-territory-adoption-of-wcag-20</w:t>
        </w:r>
        <w:bookmarkEnd w:id="6"/>
      </w:hyperlink>
    </w:p>
    <w:p w:rsidR="001D3D04" w:rsidRDefault="008B1996" w:rsidP="008242A2">
      <w:r>
        <w:fldChar w:fldCharType="end"/>
      </w:r>
    </w:p>
    <w:sectPr w:rsidR="001D3D04" w:rsidSect="007200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A1" w:rsidRDefault="00BA55A1" w:rsidP="00B12169">
      <w:pPr>
        <w:spacing w:after="0" w:line="240" w:lineRule="auto"/>
      </w:pPr>
      <w:r>
        <w:separator/>
      </w:r>
    </w:p>
  </w:endnote>
  <w:endnote w:type="continuationSeparator" w:id="0">
    <w:p w:rsidR="00BA55A1" w:rsidRDefault="00BA55A1" w:rsidP="00B1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3821"/>
      <w:docPartObj>
        <w:docPartGallery w:val="Page Numbers (Bottom of Page)"/>
        <w:docPartUnique/>
      </w:docPartObj>
    </w:sdtPr>
    <w:sdtEndPr>
      <w:rPr>
        <w:noProof/>
      </w:rPr>
    </w:sdtEndPr>
    <w:sdtContent>
      <w:p w:rsidR="00B12169" w:rsidRDefault="00B12169">
        <w:pPr>
          <w:pStyle w:val="Footer"/>
          <w:jc w:val="center"/>
        </w:pPr>
        <w:r>
          <w:fldChar w:fldCharType="begin"/>
        </w:r>
        <w:r>
          <w:instrText xml:space="preserve"> PAGE   \* MERGEFORMAT </w:instrText>
        </w:r>
        <w:r>
          <w:fldChar w:fldCharType="separate"/>
        </w:r>
        <w:r w:rsidR="00C67A4F">
          <w:rPr>
            <w:noProof/>
          </w:rPr>
          <w:t>6</w:t>
        </w:r>
        <w:r>
          <w:rPr>
            <w:noProof/>
          </w:rPr>
          <w:fldChar w:fldCharType="end"/>
        </w:r>
      </w:p>
    </w:sdtContent>
  </w:sdt>
  <w:p w:rsidR="00B12169" w:rsidRDefault="00B1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A1" w:rsidRDefault="00BA55A1" w:rsidP="00B12169">
      <w:pPr>
        <w:spacing w:after="0" w:line="240" w:lineRule="auto"/>
      </w:pPr>
      <w:r>
        <w:separator/>
      </w:r>
    </w:p>
  </w:footnote>
  <w:footnote w:type="continuationSeparator" w:id="0">
    <w:p w:rsidR="00BA55A1" w:rsidRDefault="00BA55A1" w:rsidP="00B12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55"/>
    <w:multiLevelType w:val="multilevel"/>
    <w:tmpl w:val="CA5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3DFB"/>
    <w:multiLevelType w:val="multilevel"/>
    <w:tmpl w:val="F1C2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C574A"/>
    <w:multiLevelType w:val="hybridMultilevel"/>
    <w:tmpl w:val="9B7A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7D2670"/>
    <w:multiLevelType w:val="hybridMultilevel"/>
    <w:tmpl w:val="83D8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714426"/>
    <w:multiLevelType w:val="hybridMultilevel"/>
    <w:tmpl w:val="C2782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CC0F24"/>
    <w:multiLevelType w:val="hybridMultilevel"/>
    <w:tmpl w:val="126C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D7E77"/>
    <w:multiLevelType w:val="multilevel"/>
    <w:tmpl w:val="FCB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91DB5"/>
    <w:multiLevelType w:val="multilevel"/>
    <w:tmpl w:val="A98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F1100"/>
    <w:multiLevelType w:val="hybridMultilevel"/>
    <w:tmpl w:val="A1AE202E"/>
    <w:lvl w:ilvl="0" w:tplc="D5CA6342">
      <w:start w:val="1"/>
      <w:numFmt w:val="bullet"/>
      <w:lvlText w:val="•"/>
      <w:lvlJc w:val="left"/>
      <w:pPr>
        <w:tabs>
          <w:tab w:val="num" w:pos="720"/>
        </w:tabs>
        <w:ind w:left="720" w:hanging="360"/>
      </w:pPr>
      <w:rPr>
        <w:rFonts w:ascii="Arial" w:hAnsi="Arial" w:hint="default"/>
      </w:rPr>
    </w:lvl>
    <w:lvl w:ilvl="1" w:tplc="484036AC">
      <w:start w:val="1"/>
      <w:numFmt w:val="bullet"/>
      <w:lvlText w:val="•"/>
      <w:lvlJc w:val="left"/>
      <w:pPr>
        <w:tabs>
          <w:tab w:val="num" w:pos="1440"/>
        </w:tabs>
        <w:ind w:left="1440" w:hanging="360"/>
      </w:pPr>
      <w:rPr>
        <w:rFonts w:ascii="Arial" w:hAnsi="Arial" w:hint="default"/>
      </w:rPr>
    </w:lvl>
    <w:lvl w:ilvl="2" w:tplc="E0BC2AF4" w:tentative="1">
      <w:start w:val="1"/>
      <w:numFmt w:val="bullet"/>
      <w:lvlText w:val="•"/>
      <w:lvlJc w:val="left"/>
      <w:pPr>
        <w:tabs>
          <w:tab w:val="num" w:pos="2160"/>
        </w:tabs>
        <w:ind w:left="2160" w:hanging="360"/>
      </w:pPr>
      <w:rPr>
        <w:rFonts w:ascii="Arial" w:hAnsi="Arial" w:hint="default"/>
      </w:rPr>
    </w:lvl>
    <w:lvl w:ilvl="3" w:tplc="59349D86" w:tentative="1">
      <w:start w:val="1"/>
      <w:numFmt w:val="bullet"/>
      <w:lvlText w:val="•"/>
      <w:lvlJc w:val="left"/>
      <w:pPr>
        <w:tabs>
          <w:tab w:val="num" w:pos="2880"/>
        </w:tabs>
        <w:ind w:left="2880" w:hanging="360"/>
      </w:pPr>
      <w:rPr>
        <w:rFonts w:ascii="Arial" w:hAnsi="Arial" w:hint="default"/>
      </w:rPr>
    </w:lvl>
    <w:lvl w:ilvl="4" w:tplc="B1FA5294" w:tentative="1">
      <w:start w:val="1"/>
      <w:numFmt w:val="bullet"/>
      <w:lvlText w:val="•"/>
      <w:lvlJc w:val="left"/>
      <w:pPr>
        <w:tabs>
          <w:tab w:val="num" w:pos="3600"/>
        </w:tabs>
        <w:ind w:left="3600" w:hanging="360"/>
      </w:pPr>
      <w:rPr>
        <w:rFonts w:ascii="Arial" w:hAnsi="Arial" w:hint="default"/>
      </w:rPr>
    </w:lvl>
    <w:lvl w:ilvl="5" w:tplc="910C1BC6" w:tentative="1">
      <w:start w:val="1"/>
      <w:numFmt w:val="bullet"/>
      <w:lvlText w:val="•"/>
      <w:lvlJc w:val="left"/>
      <w:pPr>
        <w:tabs>
          <w:tab w:val="num" w:pos="4320"/>
        </w:tabs>
        <w:ind w:left="4320" w:hanging="360"/>
      </w:pPr>
      <w:rPr>
        <w:rFonts w:ascii="Arial" w:hAnsi="Arial" w:hint="default"/>
      </w:rPr>
    </w:lvl>
    <w:lvl w:ilvl="6" w:tplc="D0EC7606" w:tentative="1">
      <w:start w:val="1"/>
      <w:numFmt w:val="bullet"/>
      <w:lvlText w:val="•"/>
      <w:lvlJc w:val="left"/>
      <w:pPr>
        <w:tabs>
          <w:tab w:val="num" w:pos="5040"/>
        </w:tabs>
        <w:ind w:left="5040" w:hanging="360"/>
      </w:pPr>
      <w:rPr>
        <w:rFonts w:ascii="Arial" w:hAnsi="Arial" w:hint="default"/>
      </w:rPr>
    </w:lvl>
    <w:lvl w:ilvl="7" w:tplc="33E67F24" w:tentative="1">
      <w:start w:val="1"/>
      <w:numFmt w:val="bullet"/>
      <w:lvlText w:val="•"/>
      <w:lvlJc w:val="left"/>
      <w:pPr>
        <w:tabs>
          <w:tab w:val="num" w:pos="5760"/>
        </w:tabs>
        <w:ind w:left="5760" w:hanging="360"/>
      </w:pPr>
      <w:rPr>
        <w:rFonts w:ascii="Arial" w:hAnsi="Arial" w:hint="default"/>
      </w:rPr>
    </w:lvl>
    <w:lvl w:ilvl="8" w:tplc="08BC578A" w:tentative="1">
      <w:start w:val="1"/>
      <w:numFmt w:val="bullet"/>
      <w:lvlText w:val="•"/>
      <w:lvlJc w:val="left"/>
      <w:pPr>
        <w:tabs>
          <w:tab w:val="num" w:pos="6480"/>
        </w:tabs>
        <w:ind w:left="6480" w:hanging="360"/>
      </w:pPr>
      <w:rPr>
        <w:rFonts w:ascii="Arial" w:hAnsi="Arial" w:hint="default"/>
      </w:rPr>
    </w:lvl>
  </w:abstractNum>
  <w:abstractNum w:abstractNumId="9">
    <w:nsid w:val="79906316"/>
    <w:multiLevelType w:val="hybridMultilevel"/>
    <w:tmpl w:val="4316F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eexazovwpxpee0zopv9tnsz5t229d5e5e&quot;&gt;My EndNote Library&lt;record-ids&gt;&lt;item&gt;1&lt;/item&gt;&lt;item&gt;2&lt;/item&gt;&lt;item&gt;3&lt;/item&gt;&lt;item&gt;4&lt;/item&gt;&lt;item&gt;6&lt;/item&gt;&lt;item&gt;7&lt;/item&gt;&lt;/record-ids&gt;&lt;/item&gt;&lt;/Libraries&gt;"/>
  </w:docVars>
  <w:rsids>
    <w:rsidRoot w:val="00DA73B3"/>
    <w:rsid w:val="000062F3"/>
    <w:rsid w:val="000952B2"/>
    <w:rsid w:val="000D0004"/>
    <w:rsid w:val="00147B52"/>
    <w:rsid w:val="001744D7"/>
    <w:rsid w:val="001C2D87"/>
    <w:rsid w:val="001D3D04"/>
    <w:rsid w:val="002035A1"/>
    <w:rsid w:val="0027081A"/>
    <w:rsid w:val="003461DE"/>
    <w:rsid w:val="00494783"/>
    <w:rsid w:val="004E0D4A"/>
    <w:rsid w:val="00500F56"/>
    <w:rsid w:val="005223F7"/>
    <w:rsid w:val="005550FC"/>
    <w:rsid w:val="00573CB3"/>
    <w:rsid w:val="005A401C"/>
    <w:rsid w:val="00613D4D"/>
    <w:rsid w:val="007200DB"/>
    <w:rsid w:val="00732C56"/>
    <w:rsid w:val="00761EE1"/>
    <w:rsid w:val="008242A2"/>
    <w:rsid w:val="008858B4"/>
    <w:rsid w:val="008B1996"/>
    <w:rsid w:val="009D2C9E"/>
    <w:rsid w:val="009F40A5"/>
    <w:rsid w:val="00A27419"/>
    <w:rsid w:val="00A328D7"/>
    <w:rsid w:val="00A52B4E"/>
    <w:rsid w:val="00A74AA8"/>
    <w:rsid w:val="00A915F0"/>
    <w:rsid w:val="00AA4DC3"/>
    <w:rsid w:val="00AA7809"/>
    <w:rsid w:val="00B12169"/>
    <w:rsid w:val="00BA55A1"/>
    <w:rsid w:val="00BD60EC"/>
    <w:rsid w:val="00BE4DE8"/>
    <w:rsid w:val="00C20032"/>
    <w:rsid w:val="00C26E25"/>
    <w:rsid w:val="00C67A4F"/>
    <w:rsid w:val="00D04800"/>
    <w:rsid w:val="00D42756"/>
    <w:rsid w:val="00DA73B3"/>
    <w:rsid w:val="00DE568F"/>
    <w:rsid w:val="00E429C2"/>
    <w:rsid w:val="00EC4F00"/>
    <w:rsid w:val="00F200CF"/>
    <w:rsid w:val="00F271AC"/>
    <w:rsid w:val="00F86365"/>
    <w:rsid w:val="00FB1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B18D-9B69-4CB7-8DF9-1115C1F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19"/>
    <w:pPr>
      <w:ind w:left="720"/>
      <w:contextualSpacing/>
    </w:pPr>
  </w:style>
  <w:style w:type="character" w:styleId="Hyperlink">
    <w:name w:val="Hyperlink"/>
    <w:basedOn w:val="DefaultParagraphFont"/>
    <w:uiPriority w:val="99"/>
    <w:unhideWhenUsed/>
    <w:rsid w:val="00A27419"/>
    <w:rPr>
      <w:color w:val="0000FF" w:themeColor="hyperlink"/>
      <w:u w:val="single"/>
    </w:rPr>
  </w:style>
  <w:style w:type="paragraph" w:styleId="BalloonText">
    <w:name w:val="Balloon Text"/>
    <w:basedOn w:val="Normal"/>
    <w:link w:val="BalloonTextChar"/>
    <w:uiPriority w:val="99"/>
    <w:semiHidden/>
    <w:unhideWhenUsed/>
    <w:rsid w:val="0050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56"/>
    <w:rPr>
      <w:rFonts w:ascii="Tahoma" w:hAnsi="Tahoma" w:cs="Tahoma"/>
      <w:sz w:val="16"/>
      <w:szCs w:val="16"/>
    </w:rPr>
  </w:style>
  <w:style w:type="character" w:styleId="FollowedHyperlink">
    <w:name w:val="FollowedHyperlink"/>
    <w:basedOn w:val="DefaultParagraphFont"/>
    <w:uiPriority w:val="99"/>
    <w:semiHidden/>
    <w:unhideWhenUsed/>
    <w:rsid w:val="001744D7"/>
    <w:rPr>
      <w:color w:val="800080" w:themeColor="followedHyperlink"/>
      <w:u w:val="single"/>
    </w:rPr>
  </w:style>
  <w:style w:type="table" w:styleId="TableGrid">
    <w:name w:val="Table Grid"/>
    <w:basedOn w:val="TableNormal"/>
    <w:uiPriority w:val="59"/>
    <w:rsid w:val="00C20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16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FB16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B166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FB16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B16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Title">
    <w:name w:val="EndNote Bibliography Title"/>
    <w:basedOn w:val="Normal"/>
    <w:link w:val="EndNoteBibliographyTitleChar"/>
    <w:rsid w:val="000D00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0004"/>
    <w:rPr>
      <w:rFonts w:ascii="Calibri" w:hAnsi="Calibri" w:cs="Calibri"/>
      <w:noProof/>
      <w:lang w:val="en-US"/>
    </w:rPr>
  </w:style>
  <w:style w:type="paragraph" w:customStyle="1" w:styleId="EndNoteBibliography">
    <w:name w:val="EndNote Bibliography"/>
    <w:basedOn w:val="Normal"/>
    <w:link w:val="EndNoteBibliographyChar"/>
    <w:rsid w:val="000D00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D0004"/>
    <w:rPr>
      <w:rFonts w:ascii="Calibri" w:hAnsi="Calibri" w:cs="Calibri"/>
      <w:noProof/>
      <w:lang w:val="en-US"/>
    </w:rPr>
  </w:style>
  <w:style w:type="character" w:styleId="CommentReference">
    <w:name w:val="annotation reference"/>
    <w:basedOn w:val="DefaultParagraphFont"/>
    <w:uiPriority w:val="99"/>
    <w:semiHidden/>
    <w:unhideWhenUsed/>
    <w:rsid w:val="002035A1"/>
    <w:rPr>
      <w:sz w:val="16"/>
      <w:szCs w:val="16"/>
    </w:rPr>
  </w:style>
  <w:style w:type="paragraph" w:styleId="CommentText">
    <w:name w:val="annotation text"/>
    <w:basedOn w:val="Normal"/>
    <w:link w:val="CommentTextChar"/>
    <w:uiPriority w:val="99"/>
    <w:semiHidden/>
    <w:unhideWhenUsed/>
    <w:rsid w:val="002035A1"/>
    <w:pPr>
      <w:spacing w:line="240" w:lineRule="auto"/>
    </w:pPr>
    <w:rPr>
      <w:sz w:val="20"/>
      <w:szCs w:val="20"/>
    </w:rPr>
  </w:style>
  <w:style w:type="character" w:customStyle="1" w:styleId="CommentTextChar">
    <w:name w:val="Comment Text Char"/>
    <w:basedOn w:val="DefaultParagraphFont"/>
    <w:link w:val="CommentText"/>
    <w:uiPriority w:val="99"/>
    <w:semiHidden/>
    <w:rsid w:val="002035A1"/>
    <w:rPr>
      <w:sz w:val="20"/>
      <w:szCs w:val="20"/>
    </w:rPr>
  </w:style>
  <w:style w:type="paragraph" w:styleId="CommentSubject">
    <w:name w:val="annotation subject"/>
    <w:basedOn w:val="CommentText"/>
    <w:next w:val="CommentText"/>
    <w:link w:val="CommentSubjectChar"/>
    <w:uiPriority w:val="99"/>
    <w:semiHidden/>
    <w:unhideWhenUsed/>
    <w:rsid w:val="002035A1"/>
    <w:rPr>
      <w:b/>
      <w:bCs/>
    </w:rPr>
  </w:style>
  <w:style w:type="character" w:customStyle="1" w:styleId="CommentSubjectChar">
    <w:name w:val="Comment Subject Char"/>
    <w:basedOn w:val="CommentTextChar"/>
    <w:link w:val="CommentSubject"/>
    <w:uiPriority w:val="99"/>
    <w:semiHidden/>
    <w:rsid w:val="002035A1"/>
    <w:rPr>
      <w:b/>
      <w:bCs/>
      <w:sz w:val="20"/>
      <w:szCs w:val="20"/>
    </w:rPr>
  </w:style>
  <w:style w:type="paragraph" w:styleId="Header">
    <w:name w:val="header"/>
    <w:basedOn w:val="Normal"/>
    <w:link w:val="HeaderChar"/>
    <w:uiPriority w:val="99"/>
    <w:unhideWhenUsed/>
    <w:rsid w:val="00B1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169"/>
  </w:style>
  <w:style w:type="paragraph" w:styleId="Footer">
    <w:name w:val="footer"/>
    <w:basedOn w:val="Normal"/>
    <w:link w:val="FooterChar"/>
    <w:uiPriority w:val="99"/>
    <w:unhideWhenUsed/>
    <w:rsid w:val="00B1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aaccess.org.au/research-policy/australian-governments-access-policies/state-and-territory-adoption-of-wcag-20" TargetMode="External"/><Relationship Id="rId3" Type="http://schemas.openxmlformats.org/officeDocument/2006/relationships/settings" Target="settings.xml"/><Relationship Id="rId7" Type="http://schemas.openxmlformats.org/officeDocument/2006/relationships/hyperlink" Target="http://www.iso.org/iso/iso_catalogue/catalogue_tc/catalogue_detail.htm?csnumber=58625" TargetMode="External"/><Relationship Id="rId12" Type="http://schemas.openxmlformats.org/officeDocument/2006/relationships/hyperlink" Target="http://webguid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our-work/disability-rights/standards/world-wide-web-access-disability-discrimination-act-advis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ance.gov.au/publications/wcag-2-implementation/docs/wcag-transition-strategy.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HOWARD</dc:creator>
  <cp:lastModifiedBy>Diane Costello</cp:lastModifiedBy>
  <cp:revision>2</cp:revision>
  <dcterms:created xsi:type="dcterms:W3CDTF">2014-08-27T04:28:00Z</dcterms:created>
  <dcterms:modified xsi:type="dcterms:W3CDTF">2014-08-27T04:28:00Z</dcterms:modified>
</cp:coreProperties>
</file>